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left"/>
      </w:pPr>
      <w:r>
        <w:rPr>
          <w:b/>
          <w:bCs/>
          <w:color w:val="059669"/>
          <w:spacing w:val="60"/>
          <w:sz w:val="26"/>
          <w:szCs w:val="26"/>
        </w:rPr>
        <w:t xml:space="preserve">COMPOUND ASCEND</w:t>
      </w:r>
    </w:p>
    <w:p>
      <w:pPr>
        <w:pBdr>
          <w:bottom w:val="single" w:color="059669" w:sz="16" w:space="10"/>
        </w:pBdr>
        <w:spacing w:after="0" w:before="40"/>
      </w:pPr>
      <w:r>
        <w:rPr>
          <w:sz w:val="8"/>
          <w:szCs w:val="8"/>
        </w:rPr>
        <w:t xml:space="preserve"/>
      </w:r>
    </w:p>
    <w:p>
      <w:pPr>
        <w:spacing w:after="60" w:before="360"/>
      </w:pPr>
      <w:r>
        <w:rPr>
          <w:b/>
          <w:bCs/>
          <w:color w:val="0B1F3A"/>
          <w:sz w:val="64"/>
          <w:szCs w:val="64"/>
        </w:rPr>
        <w:t xml:space="preserve">Reporte de Supervisión y Entregables</w:t>
      </w:r>
    </w:p>
    <w:p>
      <w:pPr>
        <w:spacing w:after="320"/>
      </w:pPr>
      <w:r>
        <w:rPr>
          <w:color w:val="475569"/>
          <w:sz w:val="28"/>
          <w:szCs w:val="28"/>
        </w:rPr>
        <w:t xml:space="preserve">Revisión del proyecto y paquete de salida a producción</w:t>
      </w:r>
    </w:p>
    <w:p>
      <w:pPr>
        <w:spacing w:before="200"/>
      </w:pPr>
      <w:r>
        <w:rPr>
          <w:b/>
          <w:bCs/>
          <w:color w:val="4F46E5"/>
          <w:sz w:val="20"/>
          <w:szCs w:val="20"/>
        </w:rPr>
        <w:t xml:space="preserve">RESUMEN EJECUTIVO Y ÍNDICE DEL PAQUETE</w:t>
      </w:r>
    </w:p>
    <w:p>
      <w:pPr>
        <w:spacing w:before="40"/>
      </w:pPr>
      <w:r>
        <w:rPr>
          <w:color w:val="475569"/>
          <w:sz w:val="18"/>
          <w:szCs w:val="18"/>
        </w:rPr>
        <w:t xml:space="preserve">Asesor financiero personal con IA, en español  ·  Versión 0.1.0  ·  Junio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Alcance de la revisión</w:t>
      </w:r>
    </w:p>
    <w:p>
      <w:pPr>
        <w:spacing w:after="120" w:line="276"/>
      </w:pPr>
      <w:r>
        <w:t xml:space="preserve">Este reporte resume la revisión y supervisión del proyecto Compound Ascend y sirve de índice para todo el paquete de documentación y materiales comerciales generado. La revisión incluyó la lectura del código fuente (arquitectura, los cinco módulos y sus motores, el módulo de IA, el modelo de datos, la seguridad y la monetización) y la ejecución de las verificaciones de calidad del propio proyecto.</w:t>
      </w:r>
    </w:p>
    <w:p>
      <w:pPr>
        <w:pStyle w:val="Heading1"/>
      </w:pPr>
      <w:r>
        <w:t xml:space="preserve">2. Veredicto de la supervisión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24"/>
              <w:bottom w:val="single" w:color="059669" w:sz="1"/>
              <w:right w:val="single" w:color="059669" w:sz="1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059669"/>
                <w:sz w:val="21"/>
                <w:szCs w:val="21"/>
              </w:rPr>
              <w:t xml:space="preserve">El proyecto está sano y listo para staging</w:t>
            </w:r>
          </w:p>
          <w:p>
            <w:r>
              <w:rPr>
                <w:color w:val="0F172A"/>
                <w:sz w:val="20"/>
                <w:szCs w:val="20"/>
              </w:rPr>
              <w:t xml:space="preserve">El código está completo (fases F0–F10), bien estructurado y verificado. Las verificaciones de calidad pasan en verde. Lo único pendiente para producción es provisión de infraestructura y configuración de secretos, no desarrollo.</w:t>
            </w:r>
          </w:p>
        </w:tc>
      </w:tr>
    </w:tbl>
    <w:p>
      <w:pPr>
        <w:pStyle w:val="Heading2"/>
      </w:pPr>
      <w:r>
        <w:t xml:space="preserve">2.1 Resultados de las verificaciones (ejecutadas en esta revisión)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3160"/>
      </w:tblGrid>
      <w:tr>
        <w:trPr>
          <w:tblHeader/>
        </w:trP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TypeScript strict (tsc --noEmit)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PASA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Sin errores de tipos.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ESLint (next lint)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PASA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Sin warnings ni errores.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Tests unitarios (vitest)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PASA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51 pruebas correctas.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Tests de RLS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OMITIDOS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6 pruebas; requieren un Supabase de prueba configurado.</w:t>
            </w:r>
          </w:p>
        </w:tc>
      </w:tr>
    </w:tbl>
    <w:p>
      <w:pPr>
        <w:spacing w:after="120" w:line="276"/>
      </w:pPr>
      <w:r>
        <w:t xml:space="preserve">Nota técnica: los tests requirieron instalar el binario de Rollup para Linux porque las dependencias venían compiladas para macOS. Es un detalle de entorno, no un defecto del proyecto; en la máquina de origen corren sin ese paso.</w:t>
      </w:r>
    </w:p>
    <w:p>
      <w:pPr>
        <w:pStyle w:val="Heading1"/>
      </w:pPr>
      <w:r>
        <w:t xml:space="preserve">3. Fortalezas del proyecto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Arquitectura limpia: </w:t>
      </w:r>
      <w:r>
        <w:t xml:space="preserve">monolito modular con separación estricta de capas (página → servicio → motor) y lógica de negocio en funciones puras y testeables.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Seguridad de grado fintech: </w:t>
      </w:r>
      <w:r>
        <w:t xml:space="preserve">RLS forzado en todas las tablas, validación doble, CORS por ambiente, CSP estricta, rate limiting, webhooks firmados y consumo de IA inmodificable por el usuario.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IA ética y útil: </w:t>
      </w:r>
      <w:r>
        <w:t xml:space="preserve">la IA propone y el usuario confirma; el modelo solo recibe el contexto autorizado del propio usuario.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Producto diferenciado: </w:t>
      </w:r>
      <w:r>
        <w:t xml:space="preserve">una escalera financiera integral en español, algo que las apps de gastos y los robo-advisors no ofrecen juntos.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Calidad verificable: </w:t>
      </w:r>
      <w:r>
        <w:t xml:space="preserve">TypeScript estricto, ESLint limpio, build exitoso y pruebas de los motores y de la IA.</w:t>
      </w:r>
    </w:p>
    <w:p>
      <w:pPr>
        <w:pStyle w:val="Heading1"/>
      </w:pPr>
      <w:r>
        <w:t xml:space="preserve">4. Riesgos y recomendaciones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Riesgo / pendiente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Recomendación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API keys del handoff comprometidas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Rotarlas antes de cualquier despliegue (crítico).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Infraestructura sin provisionar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Crear Supabase staging + prod, aplicar migraciones y seed, configurar OAuth y dominios.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Rate-limit y caché en memoria por instancia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Integrar Redis para operación multi-instancia (la interfaz ya está lista).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Incremento de tokens no atómico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Migrar a una función RPC atómica en Postgres bajo alta concurrencia.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Tipos de BD mantenidos a mano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Regenerar con supabase gen types tras provisionar.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Dependencia de Yahoo (no oficial)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Monitorear fallos por proveedor de precios.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Documentos legales pendientes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Hacer revisar Términos y Política de Privacidad por un abogado por jurisdicción.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Pasarela de pagos no integrada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Elegir pasarela con cobertura LatAm y conectar el webhook firmado.</w:t>
            </w:r>
          </w:p>
        </w:tc>
      </w:tr>
    </w:tbl>
    <w:p>
      <w:pPr>
        <w:pStyle w:val="Heading1"/>
      </w:pPr>
      <w:r>
        <w:t xml:space="preserve">5. Índice del paquete de entregables</w:t>
      </w:r>
    </w:p>
    <w:p>
      <w:pPr>
        <w:spacing w:after="120" w:line="276"/>
      </w:pPr>
      <w:r>
        <w:t xml:space="preserve">Todos los archivos están en la carpeta «entregables» dentro del proyecto.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00"/>
        <w:gridCol w:w="3260"/>
      </w:tblGrid>
      <w:tr>
        <w:trPr>
          <w:tblHeader/>
        </w:trP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F3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00_Reporte_de_Supervision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Word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Este documento: revisión, veredicto e índice.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01_Documentacion_Tecnica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Word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Arquitectura, módulos, IA, modelo de datos, seguridad, API (con diagramas).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02_Guia_de_Usuario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Word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Manual completo para usuarios finales, paso a paso.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03_Guia_de_Setup_y_Despliegue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Word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Instalación, Supabase, env, OAuth, pagos, Vercel y checklist.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04_Go_To_Market_y_Monetizacion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Word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Mercado, diferenciación, pricing, lanzamiento y requisitos para monetizar.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05_Terminos_y_Condiciones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Word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Plantilla legal (revisar con abogado).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06_Politica_de_Privacidad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Word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Plantilla legal (revisar con especialista).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07_Presentacion_de_Venta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PowerPoint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Pitch deck de 12 diapositivas con diferenciación global.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08_Brochure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PDF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Folleto comercial de 2 páginas.</w:t>
            </w:r>
          </w:p>
        </w:tc>
      </w:tr>
      <w:tr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diagramas/ (6 PNG)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Imágenes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0F172A"/>
                <w:sz w:val="20"/>
                <w:szCs w:val="20"/>
              </w:rPr>
              <w:t xml:space="preserve">Arquitectura, escalera, capas, IA, datos y seguridad.</w:t>
            </w:r>
          </w:p>
        </w:tc>
      </w:tr>
    </w:tbl>
    <w:p>
      <w:pPr>
        <w:pStyle w:val="Heading1"/>
      </w:pPr>
      <w:r>
        <w:t xml:space="preserve">6. Próximos pasos sugeridos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Rotar las API keys comprometidas y provisionar Supabase (staging + prod).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Configurar OAuth, dominios, secretos, Turnstile y SPF/DKIM/DMARC (ver Guía de Setup).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Integrar la pasarela de pagos y validar el webhook firmado de cambio de plan.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Hacer revisar los documentos legales y publicar el aviso de descargo financiero.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Desplegar a staging, validar flujos con datos reales y promover a producción tras el checklist.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Lanzar con la estrategia go-to-market: beta privada → waitlist → lanzamiento público.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jc w:val="center"/>
    </w:pPr>
    <w:r>
      <w:rPr>
        <w:color w:val="475569"/>
        <w:sz w:val="16"/>
        <w:szCs w:val="16"/>
      </w:rPr>
      <w:t xml:space="preserve">Compound Ascend · Supervisión   —   </w:t>
    </w:r>
    <w:r>
      <w:rPr>
        <w:color w:val="475569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059669"/>
      </w:r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  <w:rPr>
        <w:b/>
        <w:bCs/>
        <w:color w:val="4F46E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Calibri" w:cs="Calibri" w:eastAsia="Calibri" w:hAnsi="Calibri"/>
      <w:b/>
      <w:bCs/>
      <w:color w:val="0B1F3A"/>
      <w:sz w:val="60"/>
      <w:szCs w:val="60"/>
    </w:rPr>
  </w:style>
  <w:style w:type="paragraph" w:styleId="Heading1">
    <w:name w:val="Heading 1"/>
    <w:basedOn w:val="Normal"/>
    <w:next w:val="Normal"/>
    <w:qFormat/>
    <w:pPr>
      <w:pBdr>
        <w:bottom w:val="single" w:color="059669" w:sz="10" w:space="6"/>
      </w:pBdr>
      <w:spacing w:after="140" w:before="320"/>
      <w:outlineLvl w:val="0"/>
    </w:pPr>
    <w:rPr>
      <w:rFonts w:ascii="Calibri" w:cs="Calibri" w:eastAsia="Calibri" w:hAnsi="Calibri"/>
      <w:b/>
      <w:bCs/>
      <w:color w:val="0B1F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4F46E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7556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2026-06-02T15:49:12.518Z</dcterms:created>
  <dcterms:modified xsi:type="dcterms:W3CDTF">2026-06-02T15:49:12.518Z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