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left"/>
      </w:pPr>
      <w:r>
        <w:rPr>
          <w:b/>
          <w:bCs/>
          <w:color w:val="059669"/>
          <w:spacing w:val="60"/>
          <w:sz w:val="26"/>
          <w:szCs w:val="26"/>
        </w:rPr>
        <w:t xml:space="preserve">COMPOUND ASCEND</w:t>
      </w:r>
    </w:p>
    <w:p>
      <w:pPr>
        <w:pBdr>
          <w:bottom w:val="single" w:color="059669" w:sz="16" w:space="10"/>
        </w:pBdr>
        <w:spacing w:after="0" w:before="40"/>
      </w:pPr>
      <w:r>
        <w:rPr>
          <w:sz w:val="8"/>
          <w:szCs w:val="8"/>
        </w:rPr>
        <w:t xml:space="preserve"/>
      </w:r>
    </w:p>
    <w:p>
      <w:pPr>
        <w:spacing w:after="60" w:before="360"/>
      </w:pPr>
      <w:r>
        <w:rPr>
          <w:b/>
          <w:bCs/>
          <w:color w:val="0B1F3A"/>
          <w:sz w:val="64"/>
          <w:szCs w:val="64"/>
        </w:rPr>
        <w:t xml:space="preserve">Guía de Setup y Despliegue</w:t>
      </w:r>
    </w:p>
    <w:p>
      <w:pPr>
        <w:spacing w:after="320"/>
      </w:pPr>
      <w:r>
        <w:rPr>
          <w:color w:val="475569"/>
          <w:sz w:val="28"/>
          <w:szCs w:val="28"/>
        </w:rPr>
        <w:t xml:space="preserve">Del repositorio a producción, paso a paso</w:t>
      </w:r>
    </w:p>
    <w:p>
      <w:pPr>
        <w:spacing w:before="200"/>
      </w:pPr>
      <w:r>
        <w:rPr>
          <w:b/>
          <w:bCs/>
          <w:color w:val="4F46E5"/>
          <w:sz w:val="20"/>
          <w:szCs w:val="20"/>
        </w:rPr>
        <w:t xml:space="preserve">MANUAL DE INSTALACIÓN Y PUESTA EN VIVO</w:t>
      </w:r>
    </w:p>
    <w:p>
      <w:pPr>
        <w:spacing w:before="40"/>
      </w:pPr>
      <w:r>
        <w:rPr>
          <w:color w:val="475569"/>
          <w:sz w:val="18"/>
          <w:szCs w:val="18"/>
        </w:rPr>
        <w:t xml:space="preserve">Asesor financiero personal con IA, en español  ·  Versión 0.1.0  ·  Junio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</w:pPr>
      <w:r>
        <w:t xml:space="preserve">Esta guía lleva el proyecto desde el código hasta producción. Está pensada para una persona con conocimientos técnicos básicos (terminal, Git, variables de entorno). El orden importa: sigue las secciones de forma secuencial la primera vez.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24"/>
              <w:bottom w:val="single" w:color="059669" w:sz="1"/>
              <w:right w:val="single" w:color="059669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59669"/>
                <w:sz w:val="21"/>
                <w:szCs w:val="21"/>
              </w:rPr>
              <w:t xml:space="preserve">Lo único pendiente es infraestructura</w:t>
            </w:r>
          </w:p>
          <w:p>
            <w:r>
              <w:rPr>
                <w:color w:val="0F172A"/>
                <w:sz w:val="20"/>
                <w:szCs w:val="20"/>
              </w:rPr>
              <w:t xml:space="preserve">El código está completo y verificado. Para salir en vivo solo falta provisionar servicios externos (Supabase, IA, pagos, dominio) y configurar secretos. No se requiere desarrollo adicional.</w:t>
            </w:r>
          </w:p>
        </w:tc>
      </w:tr>
    </w:tbl>
    <w:p>
      <w:pPr>
        <w:pStyle w:val="Heading2"/>
      </w:pPr>
      <w:r>
        <w:t xml:space="preserve">1.1 Requisitos previos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Node.js &gt;= 20</w:t>
      </w:r>
      <w:r>
        <w:t xml:space="preserve"> y npm instalados.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Git y una cuenta en GitHub (o similar).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Cuentas en: Supabase, Vercel (recomendado), Google Cloud (OAuth), Google AI Studio (Gemini) y, opcionalmente, Finnhub/AlphaVantage, Cloudflare Turnstile y una pasarela de pagos.</w:t>
      </w:r>
    </w:p>
    <w:p>
      <w:pPr>
        <w:pStyle w:val="Heading1"/>
      </w:pPr>
      <w:r>
        <w:t xml:space="preserve">2. Instalación local</w:t>
      </w:r>
    </w:p>
    <w:p>
      <w:pPr>
        <w:spacing w:after="120" w:line="276"/>
      </w:pPr>
      <w:r>
        <w:t xml:space="preserve">Primero hacer funcionar la app en tu máquina antes de pensar en producción.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Clona el repositorio y entra a la carpeta del proyecto.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Instala dependencias:</w:t>
      </w:r>
    </w:p>
    <w:p>
      <w:pPr>
        <w:spacing w:after="120" w:line="276"/>
      </w:pPr>
      <w:r>
        <w:rPr>
          <w:rFonts w:ascii="Consolas" w:cs="Consolas" w:eastAsia="Consolas" w:hAnsi="Consolas"/>
          <w:shd w:fill="EEF2FF" w:val="clear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Copia el archivo de variables de ejemplo:</w:t>
      </w:r>
    </w:p>
    <w:p>
      <w:pPr>
        <w:spacing w:after="120" w:line="276"/>
      </w:pPr>
      <w:r>
        <w:rPr>
          <w:rFonts w:ascii="Consolas" w:cs="Consolas" w:eastAsia="Consolas" w:hAnsi="Consolas"/>
          <w:shd w:fill="EEF2FF" w:val="clear"/>
        </w:rPr>
        <w:t xml:space="preserve">cp .env.example .env.local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Rellena las variables (ver sección 4) y arranca en desarrollo:</w:t>
      </w:r>
    </w:p>
    <w:p>
      <w:pPr>
        <w:spacing w:after="120" w:line="276"/>
      </w:pPr>
      <w:r>
        <w:rPr>
          <w:rFonts w:ascii="Consolas" w:cs="Consolas" w:eastAsia="Consolas" w:hAnsi="Consolas"/>
          <w:shd w:fill="EEF2FF" w:val="clear"/>
        </w:rPr>
        <w:t xml:space="preserve">npm run dev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Abre la app en el navegador:</w:t>
      </w:r>
    </w:p>
    <w:p>
      <w:pPr>
        <w:spacing w:after="120" w:line="276"/>
      </w:pPr>
      <w:r>
        <w:rPr>
          <w:rFonts w:ascii="Consolas" w:cs="Consolas" w:eastAsia="Consolas" w:hAnsi="Consolas"/>
          <w:shd w:fill="EEF2FF" w:val="clear"/>
        </w:rPr>
        <w:t xml:space="preserve">http://localhost:3000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24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  <w:sz w:val="21"/>
                <w:szCs w:val="21"/>
              </w:rPr>
              <w:t xml:space="preserve">Modo sin credenciales</w:t>
            </w:r>
          </w:p>
          <w:p>
            <w:r>
              <w:rPr>
                <w:color w:val="0F172A"/>
                <w:sz w:val="20"/>
                <w:szCs w:val="20"/>
              </w:rPr>
              <w:t xml:space="preserve">En desarrollo, si no configuras la IA, la app usa un proveedor «stub» que responde sin consumir tokens. Útil para revisar la interfaz antes de conectar Gemini.</w:t>
            </w:r>
          </w:p>
        </w:tc>
      </w:tr>
    </w:tbl>
    <w:p>
      <w:pPr>
        <w:pStyle w:val="Heading1"/>
      </w:pPr>
      <w:r>
        <w:t xml:space="preserve">3. Provisionar la base de datos (Supabase)</w:t>
      </w:r>
    </w:p>
    <w:p>
      <w:pPr>
        <w:spacing w:after="120" w:line="276"/>
      </w:pPr>
      <w:r>
        <w:t xml:space="preserve">Crea proyectos Supabase separados para staging y producción. Nunca compartas la base de datos entre ambientes.</w:t>
      </w:r>
    </w:p>
    <w:p>
      <w:pPr>
        <w:pStyle w:val="Heading2"/>
      </w:pPr>
      <w:r>
        <w:t xml:space="preserve">3.1 Crear el proyecto y aplicar migraciones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Crea un proyecto en Supabase y anota su Project Ref y la cadena de conexión (DATABASE_URL).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Aplica las migraciones en orden ascendente (0001 → 0010). Con psql:</w:t>
      </w:r>
    </w:p>
    <w:p>
      <w:pPr>
        <w:spacing w:after="120" w:line="276"/>
      </w:pPr>
      <w:r>
        <w:rPr>
          <w:rFonts w:ascii="Consolas" w:cs="Consolas" w:eastAsia="Consolas" w:hAnsi="Consolas"/>
          <w:shd w:fill="EEF2FF" w:val="clear"/>
        </w:rPr>
        <w:t xml:space="preserve">for f in database/migrations/*.sql; do psql "$DATABASE_URL" -f "$f"; done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Carga el seed (monedas y categorías de gasto del sistema):</w:t>
      </w:r>
    </w:p>
    <w:p>
      <w:pPr>
        <w:spacing w:after="120" w:line="276"/>
      </w:pPr>
      <w:r>
        <w:rPr>
          <w:rFonts w:ascii="Consolas" w:cs="Consolas" w:eastAsia="Consolas" w:hAnsi="Consolas"/>
          <w:shd w:fill="EEF2FF" w:val="clear"/>
        </w:rPr>
        <w:t xml:space="preserve">psql "$DATABASE_URL" -f database/seed/seed.sql</w:t>
      </w:r>
    </w:p>
    <w:p>
      <w:pPr>
        <w:spacing w:after="120" w:line="276"/>
      </w:pPr>
      <w:r>
        <w:t xml:space="preserve">Alternativa: copiar cada archivo al directorio supabase/migrations con el formato de timestamp de la CLI y usar </w:t>
      </w:r>
    </w:p>
    <w:p>
      <w:pPr>
        <w:spacing w:after="120" w:line="276"/>
      </w:pPr>
      <w:r>
        <w:rPr>
          <w:rFonts w:ascii="Consolas" w:cs="Consolas" w:eastAsia="Consolas" w:hAnsi="Consolas"/>
          <w:shd w:fill="EEF2FF" w:val="clear"/>
        </w:rPr>
        <w:t xml:space="preserve">supabase db push</w:t>
      </w:r>
    </w:p>
    <w:p>
      <w:pPr>
        <w:pStyle w:val="Heading2"/>
      </w:pPr>
      <w:r>
        <w:t xml:space="preserve">3.2 Configurar autenticación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En Supabase → Authentication → Providers, habilita Email.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Habilita Google y pega el Client ID y Client Secret (ver sección 5).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Añade la URL de callback: </w:t>
      </w:r>
    </w:p>
    <w:p>
      <w:pPr>
        <w:spacing w:after="120" w:line="276"/>
      </w:pPr>
      <w:r>
        <w:rPr>
          <w:rFonts w:ascii="Consolas" w:cs="Consolas" w:eastAsia="Consolas" w:hAnsi="Consolas"/>
          <w:shd w:fill="EEF2FF" w:val="clear"/>
        </w:rPr>
        <w:t xml:space="preserve">&lt;APP_URL&gt;/auth/callback</w:t>
      </w:r>
    </w:p>
    <w:p>
      <w:pPr>
        <w:pStyle w:val="Heading2"/>
      </w:pPr>
      <w:r>
        <w:t xml:space="preserve">3.3 (Recomendado) Regenerar tipos</w:t>
      </w:r>
    </w:p>
    <w:p>
      <w:pPr>
        <w:spacing w:after="120" w:line="276"/>
      </w:pPr>
      <w:r>
        <w:t xml:space="preserve">Tras provisionar, regenera los tipos de la base de datos para máxima exactitud:</w:t>
      </w:r>
    </w:p>
    <w:p>
      <w:pPr>
        <w:spacing w:after="120" w:line="276"/>
      </w:pPr>
      <w:r>
        <w:rPr>
          <w:rFonts w:ascii="Consolas" w:cs="Consolas" w:eastAsia="Consolas" w:hAnsi="Consolas"/>
          <w:shd w:fill="EEF2FF" w:val="clear"/>
        </w:rPr>
        <w:t xml:space="preserve">supabase gen types typescript</w:t>
      </w:r>
    </w:p>
    <w:p>
      <w:pPr>
        <w:pStyle w:val="Heading1"/>
      </w:pPr>
      <w:r>
        <w:t xml:space="preserve">4. Variables de entorno</w:t>
      </w:r>
    </w:p>
    <w:p>
      <w:pPr>
        <w:spacing w:after="120" w:line="276"/>
      </w:pPr>
      <w:r>
        <w:t xml:space="preserve">Todas las variables se validan al arrancar. Las claves de backend nunca llevan el prefijo NEXT_PUBLIC_ y jamás se suben al repositorio.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Ámbito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APP_ENV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Ambiente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development | staging | production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Público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URL base de la app (p. ej. https://tudominio.com)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Servidor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Orígenes permitidos (CORS), separados por coma; sin wildcard en producción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Público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URL del proyecto Supabase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Público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Clave anónima de Supabase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Backend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Clave service-role; NUNCA al frontend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AI_PROVIDER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Backend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Proveedor de IA (gemini)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Backend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Clave de Gemini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FINNHUB_TOKEN / ALPHA_VANTAGE_KEY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Backend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Datos de mercado (Yahoo/Binance/CoinGecko no requieren clave)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REDIS_URL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Backend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Opcional; si está vacío usa caché en memoria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NEXT_PUBLIC_TURNSTILE_SITE_KEY / TURNSTILE_SECRET_KEY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Mixto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Anti-bot (requerido en producción)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PAYMENT_WEBHOOK_SECRET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Backend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Secreto para verificar la firma del webhook de pagos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24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Seguridad de claves</w:t>
            </w:r>
          </w:p>
          <w:p>
            <w:r>
              <w:rPr>
                <w:color w:val="0F172A"/>
                <w:sz w:val="20"/>
                <w:szCs w:val="20"/>
              </w:rPr>
              <w:t xml:space="preserve">Las API keys que llegaron en el handoff (Finnhub, AlphaVantage, Gemini) se consideran comprometidas. Genera claves nuevas antes de desplegar y guárdalas solo como variables de entorno del backend.</w:t>
            </w:r>
          </w:p>
        </w:tc>
      </w:tr>
    </w:tbl>
    <w:p>
      <w:pPr>
        <w:pStyle w:val="Heading1"/>
      </w:pPr>
      <w:r>
        <w:t xml:space="preserve">5. Google OAuth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En Google Cloud Console crea (o usa) un proyecto y ve a APIs y servicios → Credenciales.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Crea un ID de cliente OAuth 2.0 de tipo «Aplicación web».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En URIs de redirección autorizadas añade la URL de callback de Supabase (la que muestra el panel de Supabase para Google).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Copia el Client ID y el Client Secret y pégalos en Supabase → Auth → Providers → Google.</w:t>
      </w:r>
    </w:p>
    <w:p>
      <w:pPr>
        <w:pStyle w:val="Heading1"/>
      </w:pPr>
      <w:r>
        <w:t xml:space="preserve">6. Inteligencia artificial (Gemini)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Genera una API key en Google AI Studio.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Configúrala como GEMINI_API_KEY (backend) y AI_PROVIDER=gemini.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Verifica el flujo del Coach IA en staging antes de producción.</w:t>
      </w:r>
    </w:p>
    <w:p>
      <w:pPr>
        <w:pStyle w:val="Heading1"/>
      </w:pPr>
      <w:r>
        <w:t xml:space="preserve">7. Pagos y monetización</w:t>
      </w:r>
    </w:p>
    <w:p>
      <w:pPr>
        <w:spacing w:after="120" w:line="276"/>
      </w:pPr>
      <w:r>
        <w:t xml:space="preserve">El cambio de plan ocurre exclusivamente mediante un webhook firmado, lo que evita que el plan se altere desde el cliente.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Elige una pasarela de pagos y crea los productos/planes (mensual y anual).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Define un secreto compartido y configúralo como PAYMENT_WEBHOOK_SECRET.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Apunta el webhook de la pasarela a </w:t>
      </w:r>
    </w:p>
    <w:p>
      <w:pPr>
        <w:spacing w:after="120" w:line="276"/>
      </w:pPr>
      <w:r>
        <w:rPr>
          <w:rFonts w:ascii="Consolas" w:cs="Consolas" w:eastAsia="Consolas" w:hAnsi="Consolas"/>
          <w:shd w:fill="EEF2FF" w:val="clear"/>
        </w:rPr>
        <w:t xml:space="preserve">POST &lt;APP_URL&gt;/api/webhooks/payment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El evento debe enviar, firmado con HMAC-SHA256 en el header x-signature, un cuerpo como:</w:t>
      </w:r>
    </w:p>
    <w:p>
      <w:pPr>
        <w:spacing w:after="120" w:line="276"/>
      </w:pPr>
      <w:r>
        <w:rPr>
          <w:rFonts w:ascii="Consolas" w:cs="Consolas" w:eastAsia="Consolas" w:hAnsi="Consolas"/>
          <w:shd w:fill="EEF2FF" w:val="clear"/>
        </w:rPr>
        <w:t xml:space="preserve">{ "type": "plan.updated", "userId": "&lt;uuid&gt;", "plan": "premium"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24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  <w:sz w:val="21"/>
                <w:szCs w:val="21"/>
              </w:rPr>
              <w:t xml:space="preserve">Recomendación regional</w:t>
            </w:r>
          </w:p>
          <w:p>
            <w:r>
              <w:rPr>
                <w:color w:val="0F172A"/>
                <w:sz w:val="20"/>
                <w:szCs w:val="20"/>
              </w:rPr>
              <w:t xml:space="preserve">Para LatAm conviene una pasarela con cobertura local y métodos de pago locales además de tarjeta. Mantén el webhook como única fuente de verdad para los cambios de plan.</w:t>
            </w:r>
          </w:p>
        </w:tc>
      </w:tr>
    </w:tbl>
    <w:p>
      <w:pPr>
        <w:pStyle w:val="Heading1"/>
      </w:pPr>
      <w:r>
        <w:t xml:space="preserve">8. Despliegue en Vercel</w:t>
      </w:r>
    </w:p>
    <w:p>
      <w:pPr>
        <w:spacing w:after="120" w:line="276"/>
      </w:pPr>
      <w:r>
        <w:t xml:space="preserve">Vercel es el camino recomendado por su integración nativa con Next.js.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Importa el repositorio en Vercel.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Configura las variables de entorno por ambiente (Production y Preview).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Define ALLOWED_ORIGINS con el dominio real de cada ambiente.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Cada push a main despliega a producción; los PR generan previews tipo staging.</w:t>
      </w:r>
    </w:p>
    <w:p>
      <w:pPr>
        <w:pStyle w:val="Heading2"/>
      </w:pPr>
      <w:r>
        <w:t xml:space="preserve">8.1 Verificación previa al build</w:t>
      </w:r>
    </w:p>
    <w:p>
      <w:pPr>
        <w:spacing w:after="120" w:line="276"/>
      </w:pPr>
      <w:r>
        <w:t xml:space="preserve">Antes de desplegar, ejecuta localmente la batería de calidad:</w:t>
      </w:r>
    </w:p>
    <w:p>
      <w:pPr>
        <w:spacing w:after="120" w:line="276"/>
      </w:pPr>
      <w:r>
        <w:rPr>
          <w:rFonts w:ascii="Consolas" w:cs="Consolas" w:eastAsia="Consolas" w:hAnsi="Consolas"/>
          <w:shd w:fill="EEF2FF" w:val="clear"/>
        </w:rPr>
        <w:t xml:space="preserve">npm ci &amp;&amp; npm run typecheck &amp;&amp; npm run lint &amp;&amp; npm test &amp;&amp; npm run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Configuración distintiva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Desarrollo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localhost:3000; CORS abre localhost; CSP permite recarga en caliente.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Staging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Solo el dominio de staging en ALLOWED_ORIGINS.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Producción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HSTS activo; CSP estricta; sin wildcard de CORS.</w:t>
            </w:r>
          </w:p>
        </w:tc>
      </w:tr>
    </w:tbl>
    <w:p>
      <w:pPr>
        <w:pStyle w:val="Heading1"/>
      </w:pPr>
      <w:r>
        <w:t xml:space="preserve">9. Dominio, correo y anti-bot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Configura tu dominio y certificados (Vercel los gestiona automáticamente).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Configura SPF, DKIM y DMARC en el dominio de correo para evitar suplantación.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Crea las claves de Cloudflare Turnstile y configúralas para proteger los flujos de alto riesgo.</w:t>
      </w:r>
    </w:p>
    <w:p>
      <w:pPr>
        <w:pStyle w:val="Heading1"/>
      </w:pPr>
      <w:r>
        <w:t xml:space="preserve">10. Checklist de salida a producción</w:t>
      </w:r>
    </w:p>
    <w:p>
      <w:pPr>
        <w:spacing w:after="120" w:line="276"/>
      </w:pPr>
      <w:r>
        <w:t xml:space="preserve">Marca cada punto antes de promover a producción: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rPr>
          <w:tblHeader/>
        </w:trPr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esperado</w:t>
            </w:r>
          </w:p>
        </w:tc>
      </w:tr>
      <w:tr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Rotar las 3 API keys comprometidas del handoff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Provisionar Supabase (staging + prod), migraciones y seed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Configurar Google OAuth y URLs de callback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Definir ALLOWED_ORIGINS, PAYMENT_WEBHOOK_SECRET y Turnstile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Configurar SPF/DKIM/DMARC del dominio de correo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Verificar que el frontend de prod apunta al Supabase de prod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typecheck + lint + test + build en verde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(Escala) Integrar Redis para rate-limit y caché global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(Exactitud) Regenerar tipos con supabase gen types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Recomendado</w:t>
            </w:r>
          </w:p>
        </w:tc>
      </w:tr>
    </w:tbl>
    <w:p>
      <w:pPr>
        <w:pStyle w:val="Heading1"/>
      </w:pPr>
      <w:r>
        <w:t xml:space="preserve">11. Operación y rollback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Código: </w:t>
      </w:r>
      <w:r>
        <w:t xml:space="preserve">Vercel guarda despliegues inmutables; puedes promover un despliegue anterior o usar git revert.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Base de datos: </w:t>
      </w:r>
      <w:r>
        <w:t xml:space="preserve">las migraciones son aditivas y versionadas; para revertir, escribe una nueva migración de reversión (no edites las ya aplicadas) y respalda con pg_dump antes de cambios destructivos.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Plan/monetización: </w:t>
      </w:r>
      <w:r>
        <w:t xml:space="preserve">un evento de plan erróneo se corrige con otro evento plan.updated firmado.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Observabilidad: </w:t>
      </w:r>
      <w:r>
        <w:t xml:space="preserve">revisa el endpoint /api/health y los registros estructurados; vigila fallos por proveedor de precios.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jc w:val="center"/>
    </w:pPr>
    <w:r>
      <w:rPr>
        <w:color w:val="475569"/>
        <w:sz w:val="16"/>
        <w:szCs w:val="16"/>
      </w:rPr>
      <w:t xml:space="preserve">Compound Ascend · Setup y Despliegue   —   </w:t>
    </w:r>
    <w:r>
      <w:rPr>
        <w:color w:val="475569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059669"/>
      </w:r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  <w:rPr>
        <w:b/>
        <w:bCs/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0B1F3A"/>
      <w:sz w:val="60"/>
      <w:szCs w:val="60"/>
    </w:rPr>
  </w:style>
  <w:style w:type="paragraph" w:styleId="Heading1">
    <w:name w:val="Heading 1"/>
    <w:basedOn w:val="Normal"/>
    <w:next w:val="Normal"/>
    <w:qFormat/>
    <w:pPr>
      <w:pBdr>
        <w:bottom w:val="single" w:color="059669" w:sz="10" w:space="6"/>
      </w:pBdr>
      <w:spacing w:after="140" w:before="320"/>
      <w:outlineLvl w:val="0"/>
    </w:pPr>
    <w:rPr>
      <w:rFonts w:ascii="Calibri" w:cs="Calibri" w:eastAsia="Calibri" w:hAnsi="Calibri"/>
      <w:b/>
      <w:bCs/>
      <w:color w:val="0B1F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4F46E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2026-06-02T15:38:35.625Z</dcterms:created>
  <dcterms:modified xsi:type="dcterms:W3CDTF">2026-06-02T15:38:35.625Z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