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b/>
          <w:bCs/>
          <w:color w:val="059669"/>
          <w:spacing w:val="60"/>
          <w:sz w:val="26"/>
          <w:szCs w:val="26"/>
        </w:rPr>
        <w:t xml:space="preserve">COMPOUND ASCEND</w:t>
      </w:r>
    </w:p>
    <w:p>
      <w:pPr>
        <w:pBdr>
          <w:bottom w:val="single" w:color="059669" w:sz="16" w:space="10"/>
        </w:pBdr>
        <w:spacing w:after="0" w:before="40"/>
      </w:pPr>
      <w:r>
        <w:rPr>
          <w:sz w:val="8"/>
          <w:szCs w:val="8"/>
        </w:rPr>
        <w:t xml:space="preserve"/>
      </w:r>
    </w:p>
    <w:p>
      <w:pPr>
        <w:spacing w:after="60" w:before="360"/>
      </w:pPr>
      <w:r>
        <w:rPr>
          <w:b/>
          <w:bCs/>
          <w:color w:val="0B1F3A"/>
          <w:sz w:val="64"/>
          <w:szCs w:val="64"/>
        </w:rPr>
        <w:t xml:space="preserve">Go-to-Market y Monetización</w:t>
      </w:r>
    </w:p>
    <w:p>
      <w:pPr>
        <w:spacing w:after="320"/>
      </w:pPr>
      <w:r>
        <w:rPr>
          <w:color w:val="475569"/>
          <w:sz w:val="28"/>
          <w:szCs w:val="28"/>
        </w:rPr>
        <w:t xml:space="preserve">Estrategia de precios, lanzamiento y crecimiento en LatAm</w:t>
      </w:r>
    </w:p>
    <w:p>
      <w:pPr>
        <w:spacing w:before="200"/>
      </w:pPr>
      <w:r>
        <w:rPr>
          <w:b/>
          <w:bCs/>
          <w:color w:val="4F46E5"/>
          <w:sz w:val="20"/>
          <w:szCs w:val="20"/>
        </w:rPr>
        <w:t xml:space="preserve">PLAN COMERCIAL Y DE MONETIZACIÓN</w:t>
      </w:r>
    </w:p>
    <w:p>
      <w:pPr>
        <w:spacing w:before="40"/>
      </w:pPr>
      <w:r>
        <w:rPr>
          <w:color w:val="475569"/>
          <w:sz w:val="18"/>
          <w:szCs w:val="18"/>
        </w:rPr>
        <w:t xml:space="preserve">Asesor financiero personal con IA, en español  ·  Versión 0.1.0  ·  Junio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estratégico</w:t>
      </w:r>
    </w:p>
    <w:p>
      <w:pPr>
        <w:spacing w:after="120" w:line="276"/>
      </w:pPr>
      <w:r>
        <w:t xml:space="preserve">Compound Ascend entra al mercado hispanohablante de Latinoamérica como un asesor financiero personal con IA que va más allá del presupuesto: acompaña al usuario a través de una escalera financiera completa, desde entender su situación hasta construir patrimonio. La estrategia de monetización es freemium: el diagnóstico completo es gratuito y el acompañamiento avanzado es de pago.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24"/>
              <w:bottom w:val="single" w:color="059669" w:sz="1"/>
              <w:right w:val="single" w:color="059669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59669"/>
                <w:sz w:val="21"/>
                <w:szCs w:val="21"/>
              </w:rPr>
              <w:t xml:space="preserve">Tesis comercial</w:t>
            </w:r>
          </w:p>
          <w:p>
            <w:r>
              <w:rPr>
                <w:color w:val="0F172A"/>
                <w:sz w:val="20"/>
                <w:szCs w:val="20"/>
              </w:rPr>
              <w:t xml:space="preserve">El mercado está lleno de apps de gastos (categorizan el pasado) y de robo-advisors (solo invierten). Compound Ascend ocupa el espacio vacío: un coach financiero integral en español que prioriza, decide y acompaña, con la IA como asesor y no como simple chatbot.</w:t>
            </w:r>
          </w:p>
        </w:tc>
      </w:tr>
    </w:tbl>
    <w:p>
      <w:pPr>
        <w:pStyle w:val="Heading1"/>
      </w:pPr>
      <w:r>
        <w:t xml:space="preserve">2. Mercado y oportunidad</w:t>
      </w:r>
    </w:p>
    <w:p>
      <w:pPr>
        <w:spacing w:after="120" w:line="276"/>
      </w:pPr>
      <w:r>
        <w:t xml:space="preserve">Latinoamérica combina alta penetración de smartphones, baja educación financiera formal y una nueva generación bancarizada por fintech. El usuario hispanohablante está mal atendido: las mejores apps de finanzas personales están pensadas para el mercado anglosajón, no hablan su idioma ni entienden sus realidades (informalidad, múltiples monedas, ingresos variables).</w:t>
      </w:r>
    </w:p>
    <w:p>
      <w:pPr>
        <w:pStyle w:val="Heading2"/>
      </w:pPr>
      <w:r>
        <w:t xml:space="preserve">2.1 Segmentos objetivo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Profesionales jóvenes (25–40): </w:t>
      </w:r>
      <w:r>
        <w:t xml:space="preserve">ingresos crecientes, deudas de consumo, ganas de invertir pero sin saber por dónde empezar.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Familias y parejas: </w:t>
      </w:r>
      <w:r>
        <w:t xml:space="preserve">necesitan coordinar finanzas; la función de hogar (households) es un diferenciador.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Independientes y emprendedores: </w:t>
      </w:r>
      <w:r>
        <w:t xml:space="preserve">ingresos variables; la mensualización y el motor de prioridad resuelven su mayor dolor.</w:t>
      </w:r>
    </w:p>
    <w:p>
      <w:pPr>
        <w:pStyle w:val="Heading1"/>
      </w:pPr>
      <w:r>
        <w:t xml:space="preserve">3. Diferenciación competitiva</w:t>
      </w:r>
    </w:p>
    <w:p>
      <w:pPr>
        <w:spacing w:after="120" w:line="276"/>
      </w:pPr>
      <w:r>
        <w:t xml:space="preserve">Frente a los referentes globales y regionales, Compound Ascend se distingue por ser integral, en español nativo y con IA accionable y ética.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80"/>
        <w:gridCol w:w="238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Apps de gastos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Robo-advisors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Compound Ascend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Idioma y contexto LatAm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Parcial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Limitado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Nativo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Escalera financiera completa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Sí (5 módulos)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IA que prioriza y decide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Manejo de deudas (simulador)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Básico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Avalancha/bola/híbrido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Protección (seguros)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Sí, con brechas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Finanzas de hogar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Limitado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IA con confirmación (no actúa sola)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Sí</w:t>
            </w:r>
          </w:p>
        </w:tc>
      </w:tr>
    </w:tbl>
    <w:p>
      <w:pPr>
        <w:pStyle w:val="Heading1"/>
      </w:pPr>
      <w:r>
        <w:t xml:space="preserve">4. Estrategia de precios</w:t>
      </w:r>
    </w:p>
    <w:p>
      <w:pPr>
        <w:spacing w:after="120" w:line="276"/>
      </w:pPr>
      <w:r>
        <w:t xml:space="preserve">La política de precios posiciona el plan Premium un 10% por encima del competidor más caro del mercado, reflejando que Compound Ascend ofrece un alcance integral que ninguno iguala. A continuación, el mapa competitivo en dólares (referencia, junio 2026).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80"/>
        <w:gridCol w:w="238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Mensual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Anual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Fintonic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Gratis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Gratis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Gastos / agregación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Monefy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Gratis / bajo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Gastos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Mobills Premium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≈ US$25–50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Presupuesto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YNAB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US$14,99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US$109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Presupuesto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Monarch Money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US$14,99</w:t>
            </w:r>
          </w:p>
        </w:tc>
        <w:tc>
          <w:tcPr>
            <w:tcW w:type="dxa" w:w="2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US$99,99–199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Agregación / patrimonio</w:t>
            </w:r>
          </w:p>
        </w:tc>
      </w:tr>
    </w:tbl>
    <w:p>
      <w:pPr>
        <w:spacing w:after="120" w:line="276"/>
      </w:pPr>
      <w:r>
        <w:t xml:space="preserve">El precio mensual más alto del mercado es US$14,99. Aplicando el posicionamiento +10%, el plan Premium de Compound Ascend se fija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Gratis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US$0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Diagnóstico completo y Coach IA con uso mensual limitado. Para siempre.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Premium mensual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US$16,49 / mes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+10% sobre el competidor más caro (US$14,99).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Premium anual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US$164,90 / año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Equivale a ~10 meses: 2 meses gratis frente al mensual.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24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  <w:sz w:val="21"/>
                <w:szCs w:val="21"/>
              </w:rPr>
              <w:t xml:space="preserve">Cómo comunicarlo en LatAm</w:t>
            </w:r>
          </w:p>
          <w:p>
            <w:r>
              <w:rPr>
                <w:color w:val="0F172A"/>
                <w:sz w:val="20"/>
                <w:szCs w:val="20"/>
              </w:rPr>
              <w:t xml:space="preserve">Mostrar siempre el precio en moneda local con paridad de poder adquisitivo y resaltar el plan anual como mejor valor. El ancla psicológica es: «menos que un café a la semana por un asesor financiero completo». El plan gratuito elimina la fricción de entrada.</w:t>
            </w:r>
          </w:p>
        </w:tc>
      </w:tr>
    </w:tbl>
    <w:p>
      <w:pPr>
        <w:pStyle w:val="Heading2"/>
      </w:pPr>
      <w:r>
        <w:t xml:space="preserve">4.1 Palancas de monetización adicionales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Plan Familiar/Hogar: Premium para varios miembros de un mismo hogar a precio combinado.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Marketplace: comisión por derivación a productos financieros (seguros, inversión) con total transparencia.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Revisión experta: sesiones de acompañamiento humano como complemento premium puntual.</w:t>
      </w:r>
    </w:p>
    <w:p>
      <w:pPr>
        <w:pStyle w:val="Heading1"/>
      </w:pPr>
      <w:r>
        <w:t xml:space="preserve">5. Embudo y métricas</w:t>
      </w:r>
    </w:p>
    <w:p>
      <w:pPr>
        <w:spacing w:after="120" w:line="276"/>
      </w:pPr>
      <w:r>
        <w:t xml:space="preserve">El modelo freemium se gestiona con métricas claras de activación, conversión y retención.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 / objetivo inicial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Activación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% de usuarios que completan el Perfil y la Base Financiera (meta: &gt;60%).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Aha moment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Recibir la primera «próxima mejor acción» del Dashboard.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Conversión a Premium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% de usuarios activos que pasan a pago (meta inicial: 3–6%).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Retención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Usuarios activos mensuales que regresan (meta: &gt;40% a 90 días).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LTV / CAC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Mantener LTV/CAC &gt; 3 antes de escalar inversión en adquisición.</w:t>
            </w:r>
          </w:p>
        </w:tc>
      </w:tr>
    </w:tbl>
    <w:p>
      <w:pPr>
        <w:pStyle w:val="Heading1"/>
      </w:pPr>
      <w:r>
        <w:t xml:space="preserve">6. Plan de lanzamiento</w:t>
      </w:r>
    </w:p>
    <w:p>
      <w:pPr>
        <w:pStyle w:val="Heading2"/>
      </w:pPr>
      <w:r>
        <w:t xml:space="preserve">6.1 Fases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Beta privada: </w:t>
      </w:r>
      <w:r>
        <w:t xml:space="preserve">50–200 usuarios invitados; validar activación y recoger testimonios.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Lanzamiento suave: </w:t>
      </w:r>
      <w:r>
        <w:t xml:space="preserve">lista de espera + waitlist con incentivo de Premium gratis por tiempo limitado.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Lanzamiento público: </w:t>
      </w:r>
      <w:r>
        <w:t xml:space="preserve">campaña de contenidos + alianzas + prensa fintech regional.</w:t>
      </w:r>
    </w:p>
    <w:p>
      <w:pPr>
        <w:pStyle w:val="Heading2"/>
      </w:pPr>
      <w:r>
        <w:t xml:space="preserve">6.2 Canales de adquisición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Contenido educativo en español (SEO, YouTube, TikTok/Reels) sobre deudas, ahorro e inversión.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Alianzas con creadores de finanzas personales en LatAm y newsletters del sector.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Referidos: ambos lados reciben días de Premium.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Comunidades (Discord/WhatsApp) y webinars de educación financiera.</w:t>
      </w:r>
    </w:p>
    <w:p>
      <w:pPr>
        <w:pStyle w:val="Heading1"/>
      </w:pPr>
      <w:r>
        <w:t xml:space="preserve">7. Requisitos para salir en vivo y monetizar</w:t>
      </w:r>
    </w:p>
    <w:p>
      <w:pPr>
        <w:spacing w:after="120" w:line="276"/>
      </w:pPr>
      <w:r>
        <w:t xml:space="preserve">Lista consolidada de lo necesario para operar comercialmente, además del checklist técnico de la Guía de Setup.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se necesita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Supabase prod, dominio, Vercel, rotación de claves, OAuth, Turnstile (ver Guía de Setup).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Pagos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Pasarela con cobertura LatAm; productos mensual/anual; webhook firmado; facturación e impuestos por país.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Legal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Términos y Condiciones, Política de Privacidad, política de cookies y aviso de descargo financiero (documentos adjuntos).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Soporte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Canal de soporte (correo/chat), centro de ayuda y política de reembolsos.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Analítica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Métricas de producto y de conversión (con consentimiento) y panel de observabilidad.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Marca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Identidad visual, landing page de conversión, brochure y pitch (adjuntos).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Cumplimiento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Descargo: la app ofrece educación y organización financiera, no asesoría regulada de inversión.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24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Aviso importante</w:t>
            </w:r>
          </w:p>
          <w:p>
            <w:r>
              <w:rPr>
                <w:color w:val="0F172A"/>
                <w:sz w:val="20"/>
                <w:szCs w:val="20"/>
              </w:rPr>
              <w:t xml:space="preserve">Compound Ascend brinda educación y organización financiera personal. No constituye asesoría de inversión, legal o fiscal regulada. El descargo debe ser visible en la app y en los documentos legales, y las recomendaciones del marketplace deben declarar cualquier relación comercial.</w:t>
            </w:r>
          </w:p>
        </w:tc>
      </w:tr>
    </w:tbl>
    <w:p>
      <w:pPr>
        <w:pStyle w:val="Heading1"/>
      </w:pPr>
      <w:r>
        <w:t xml:space="preserve">8. Hoja de ruta de producto (post-lanzamiento)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Integración bancaria (open finance) para importar movimientos automáticamente por país.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Redis para rate-limit y caché global multi-instancia (interfaz ya preparada).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App móvil nativa / PWA instalable y notificaciones push.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Más proveedores de IA tras la abstracción AIProvider y personalización del coaching.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Reportes exportables (PDF) y modo asesor para profesionales.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jc w:val="center"/>
    </w:pPr>
    <w:r>
      <w:rPr>
        <w:color w:val="475569"/>
        <w:sz w:val="16"/>
        <w:szCs w:val="16"/>
      </w:rPr>
      <w:t xml:space="preserve">Compound Ascend · Go-to-Market   —   </w:t>
    </w:r>
    <w:r>
      <w:rPr>
        <w:color w:val="475569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59669"/>
      </w:r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0B1F3A"/>
      <w:sz w:val="60"/>
      <w:szCs w:val="60"/>
    </w:rPr>
  </w:style>
  <w:style w:type="paragraph" w:styleId="Heading1">
    <w:name w:val="Heading 1"/>
    <w:basedOn w:val="Normal"/>
    <w:next w:val="Normal"/>
    <w:qFormat/>
    <w:pPr>
      <w:pBdr>
        <w:bottom w:val="single" w:color="059669" w:sz="10" w:space="6"/>
      </w:pBdr>
      <w:spacing w:after="140" w:before="320"/>
      <w:outlineLvl w:val="0"/>
    </w:pPr>
    <w:rPr>
      <w:rFonts w:ascii="Calibri" w:cs="Calibri" w:eastAsia="Calibri" w:hAnsi="Calibri"/>
      <w:b/>
      <w:bCs/>
      <w:color w:val="0B1F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4F46E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2026-06-02T15:40:32.421Z</dcterms:created>
  <dcterms:modified xsi:type="dcterms:W3CDTF">2026-06-02T15:40:32.421Z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