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059669"/>
          <w:spacing w:val="60"/>
          <w:sz w:val="26"/>
          <w:szCs w:val="26"/>
        </w:rPr>
        <w:t xml:space="preserve">COMPOUND ASCEND</w:t>
      </w:r>
    </w:p>
    <w:p>
      <w:pPr>
        <w:pBdr>
          <w:bottom w:val="single" w:color="059669" w:sz="16" w:space="10"/>
        </w:pBdr>
        <w:spacing w:after="0" w:before="40"/>
      </w:pPr>
      <w:r>
        <w:rPr>
          <w:sz w:val="8"/>
          <w:szCs w:val="8"/>
        </w:rPr>
        <w:t xml:space="preserve"/>
      </w:r>
    </w:p>
    <w:p>
      <w:pPr>
        <w:spacing w:after="60" w:before="360"/>
      </w:pPr>
      <w:r>
        <w:rPr>
          <w:b/>
          <w:bCs/>
          <w:color w:val="0B1F3A"/>
          <w:sz w:val="64"/>
          <w:szCs w:val="64"/>
        </w:rPr>
        <w:t xml:space="preserve">Términos y Condiciones</w:t>
      </w:r>
    </w:p>
    <w:p>
      <w:pPr>
        <w:spacing w:after="320"/>
      </w:pPr>
      <w:r>
        <w:rPr>
          <w:color w:val="475569"/>
          <w:sz w:val="28"/>
          <w:szCs w:val="28"/>
        </w:rPr>
        <w:t xml:space="preserve">Plantilla base para Compound Ascend</w:t>
      </w:r>
    </w:p>
    <w:p>
      <w:pPr>
        <w:spacing w:before="200"/>
      </w:pPr>
      <w:r>
        <w:rPr>
          <w:b/>
          <w:bCs/>
          <w:color w:val="4F46E5"/>
          <w:sz w:val="20"/>
          <w:szCs w:val="20"/>
        </w:rPr>
        <w:t xml:space="preserve">DOCUMENTO LEGAL · PLANTILLA</w:t>
      </w:r>
    </w:p>
    <w:p>
      <w:pPr>
        <w:spacing w:before="40"/>
      </w:pPr>
      <w:r>
        <w:rPr>
          <w:color w:val="475569"/>
          <w:sz w:val="18"/>
          <w:szCs w:val="18"/>
        </w:rPr>
        <w:t xml:space="preserve">Asesor financiero personal con IA, en español  ·  Versión 0.1.0  ·  Junio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24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Plantilla orientativa</w:t>
            </w:r>
          </w:p>
          <w:p>
            <w:r>
              <w:rPr>
                <w:color w:val="0F172A"/>
                <w:sz w:val="20"/>
                <w:szCs w:val="20"/>
              </w:rPr>
              <w:t xml:space="preserve">Este documento es una plantilla de partida. Debe ser revisado y adaptado por un abogado según la jurisdicción de operación antes de su publicación. Los campos entre corchetes deben completarse.</w:t>
            </w:r>
          </w:p>
        </w:tc>
      </w:tr>
    </w:tbl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Aceptación de los términos</w:t>
      </w:r>
    </w:p>
    <w:p>
      <w:pPr>
        <w:spacing w:after="120" w:line="276"/>
      </w:pPr>
      <w:r>
        <w:t xml:space="preserve">Al crear una cuenta o utilizar Compound Ascend (la «Aplicación»), operada por [Razón social] («nosotros»), usted («el Usuario») acepta estos Términos y Condiciones. Si no está de acuerdo, no utilice la Aplicación.</w:t>
      </w:r>
    </w:p>
    <w:p>
      <w:pPr>
        <w:pStyle w:val="Heading1"/>
      </w:pPr>
      <w:r>
        <w:t xml:space="preserve">2. Descripción del servicio</w:t>
      </w:r>
    </w:p>
    <w:p>
      <w:pPr>
        <w:spacing w:after="120" w:line="276"/>
      </w:pPr>
      <w:r>
        <w:t xml:space="preserve">Compound Ascend es una herramienta de educación y organización financiera personal que ayuda al Usuario a registrar sus finanzas, recibir diagnósticos y sugerencias generadas por software e inteligencia artificial, y dar seguimiento a sus metas.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24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No es asesoría financiera regulada</w:t>
            </w:r>
          </w:p>
          <w:p>
            <w:r>
              <w:rPr>
                <w:color w:val="0F172A"/>
                <w:sz w:val="20"/>
                <w:szCs w:val="20"/>
              </w:rPr>
              <w:t xml:space="preserve">La Aplicación NO presta asesoría de inversión, legal, contable ni fiscal regulada. La información y las sugerencias tienen fines educativos y organizativos. Las decisiones financieras son responsabilidad exclusiva del Usuario, quien debe consultar a un profesional cuando corresponda.</w:t>
            </w:r>
          </w:p>
        </w:tc>
      </w:tr>
    </w:tbl>
    <w:p>
      <w:pPr>
        <w:pStyle w:val="Heading1"/>
      </w:pPr>
      <w:r>
        <w:t xml:space="preserve">3. Cuentas y seguridad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Usuario es responsable de la veracidad de los datos que ingresa y de la confidencialidad de sus credenciales.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Usuario debe ser mayor de edad en su jurisdicción para usar la Aplicación.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Nos reservamos el derecho de suspender cuentas ante uso indebido, fraude o incumplimiento de estos términos.</w:t>
      </w:r>
    </w:p>
    <w:p>
      <w:pPr>
        <w:pStyle w:val="Heading1"/>
      </w:pPr>
      <w:r>
        <w:t xml:space="preserve">4. Planes, pagos y renovación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Aplicación ofrece un plan gratuito y planes de pago (Premium) descritos en la Aplicación.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Las suscripciones de pago se renuevan automáticamente al final de cada período salvo cancelación previa.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Los precios pueden cambiar con aviso previo; los cambios no afectan el período ya pagado.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política de reembolsos aplicable es [detallar]; los impuestos se aplican según la jurisdicción del Usuario.</w:t>
      </w:r>
    </w:p>
    <w:p>
      <w:pPr>
        <w:pStyle w:val="Heading1"/>
      </w:pPr>
      <w:r>
        <w:t xml:space="preserve">5. Uso aceptable</w:t>
      </w:r>
    </w:p>
    <w:p>
      <w:pPr>
        <w:spacing w:after="120" w:line="276"/>
      </w:pPr>
      <w:r>
        <w:t xml:space="preserve">El Usuario se compromete a no: (a) usar la Aplicación con fines ilícitos; (b) intentar vulnerar su seguridad o acceder a datos de terceros; (c) realizar ingeniería inversa, copiar o suplantar la Aplicación; (d) abusar de los servicios de IA o de los límites de uso.</w:t>
      </w:r>
    </w:p>
    <w:p>
      <w:pPr>
        <w:pStyle w:val="Heading1"/>
      </w:pPr>
      <w:r>
        <w:t xml:space="preserve">6. Propiedad intelectual</w:t>
      </w:r>
    </w:p>
    <w:p>
      <w:pPr>
        <w:spacing w:after="120" w:line="276"/>
      </w:pPr>
      <w:r>
        <w:t xml:space="preserve">La Aplicación, su marca, su código y sus contenidos son propiedad de [Razón social] o de sus licenciantes. El Usuario conserva la titularidad de los datos que introduce.</w:t>
      </w:r>
    </w:p>
    <w:p>
      <w:pPr>
        <w:pStyle w:val="Heading1"/>
      </w:pPr>
      <w:r>
        <w:t xml:space="preserve">7. Inteligencia artificial</w:t>
      </w:r>
    </w:p>
    <w:p>
      <w:pPr>
        <w:spacing w:after="120" w:line="276"/>
      </w:pPr>
      <w:r>
        <w:t xml:space="preserve">Algunas funciones usan modelos de IA de terceros. Las respuestas pueden contener errores y nunca ejecutan acciones sin la confirmación del Usuario. El Usuario es responsable de revisar cualquier sugerencia antes de actuar.</w:t>
      </w:r>
    </w:p>
    <w:p>
      <w:pPr>
        <w:pStyle w:val="Heading1"/>
      </w:pPr>
      <w:r>
        <w:t xml:space="preserve">8. Limitación de responsabilidad</w:t>
      </w:r>
    </w:p>
    <w:p>
      <w:pPr>
        <w:spacing w:after="120" w:line="276"/>
      </w:pPr>
      <w:r>
        <w:t xml:space="preserve">En la máxima medida permitida por la ley, no seremos responsables por pérdidas o daños derivados de decisiones financieras tomadas con base en la información de la Aplicación, ni por interrupciones del servicio o de proveedores externos (datos de mercado, IA, pagos).</w:t>
      </w:r>
    </w:p>
    <w:p>
      <w:pPr>
        <w:pStyle w:val="Heading1"/>
      </w:pPr>
      <w:r>
        <w:t xml:space="preserve">9. Terminación</w:t>
      </w:r>
    </w:p>
    <w:p>
      <w:pPr>
        <w:spacing w:after="120" w:line="276"/>
      </w:pPr>
      <w:r>
        <w:t xml:space="preserve">El Usuario puede cancelar su cuenta en cualquier momento. Podemos suspender o terminar el servicio por incumplimiento o por razones operativas, con aviso razonable cuando sea posible.</w:t>
      </w:r>
    </w:p>
    <w:p>
      <w:pPr>
        <w:pStyle w:val="Heading1"/>
      </w:pPr>
      <w:r>
        <w:t xml:space="preserve">10. Cambios y ley aplicable</w:t>
      </w:r>
    </w:p>
    <w:p>
      <w:pPr>
        <w:spacing w:after="120" w:line="276"/>
      </w:pPr>
      <w:r>
        <w:t xml:space="preserve">Podemos actualizar estos términos; notificaremos los cambios relevantes. Estos términos se rigen por las leyes de [jurisdicción] y cualquier disputa se someterá a [foro/competencia].</w:t>
      </w:r>
    </w:p>
    <w:p>
      <w:pPr>
        <w:pStyle w:val="Heading1"/>
      </w:pPr>
      <w:r>
        <w:t xml:space="preserve">11. Contacto</w:t>
      </w:r>
    </w:p>
    <w:p>
      <w:pPr>
        <w:spacing w:after="120" w:line="276"/>
      </w:pPr>
      <w:r>
        <w:t xml:space="preserve">Para consultas legales o de soporte: [correo de contacto] · [domicilio]. Última actualización: [fecha].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color w:val="475569"/>
        <w:sz w:val="16"/>
        <w:szCs w:val="16"/>
      </w:rPr>
      <w:t xml:space="preserve">Compound Ascend · Términos y Condiciones   —   </w:t>
    </w:r>
    <w:r>
      <w:rPr>
        <w:color w:val="47556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59669"/>
      </w:r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B1F3A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059669" w:sz="10" w:space="6"/>
      </w:pBdr>
      <w:spacing w:after="140" w:before="320"/>
      <w:outlineLvl w:val="0"/>
    </w:pPr>
    <w:rPr>
      <w:rFonts w:ascii="Calibri" w:cs="Calibri" w:eastAsia="Calibri" w:hAnsi="Calibri"/>
      <w:b/>
      <w:bCs/>
      <w:color w:val="0B1F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2026-06-02T15:40:32.595Z</dcterms:created>
  <dcterms:modified xsi:type="dcterms:W3CDTF">2026-06-02T15:40:32.595Z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