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b/>
          <w:bCs/>
          <w:color w:val="059669"/>
          <w:spacing w:val="60"/>
          <w:sz w:val="26"/>
          <w:szCs w:val="26"/>
        </w:rPr>
        <w:t xml:space="preserve">COMPOUND ASCEND</w:t>
      </w:r>
    </w:p>
    <w:p>
      <w:pPr>
        <w:pBdr>
          <w:bottom w:val="single" w:color="059669" w:sz="16" w:space="10"/>
        </w:pBdr>
        <w:spacing w:after="0" w:before="40"/>
      </w:pPr>
      <w:r>
        <w:rPr>
          <w:sz w:val="8"/>
          <w:szCs w:val="8"/>
        </w:rPr>
        <w:t xml:space="preserve"/>
      </w:r>
    </w:p>
    <w:p>
      <w:pPr>
        <w:spacing w:after="60" w:before="360"/>
      </w:pPr>
      <w:r>
        <w:rPr>
          <w:b/>
          <w:bCs/>
          <w:color w:val="0B1F3A"/>
          <w:sz w:val="64"/>
          <w:szCs w:val="64"/>
        </w:rPr>
        <w:t xml:space="preserve">Política de Privacidad</w:t>
      </w:r>
    </w:p>
    <w:p>
      <w:pPr>
        <w:spacing w:after="320"/>
      </w:pPr>
      <w:r>
        <w:rPr>
          <w:color w:val="475569"/>
          <w:sz w:val="28"/>
          <w:szCs w:val="28"/>
        </w:rPr>
        <w:t xml:space="preserve">Plantilla base para Compound Ascend</w:t>
      </w:r>
    </w:p>
    <w:p>
      <w:pPr>
        <w:spacing w:before="200"/>
      </w:pPr>
      <w:r>
        <w:rPr>
          <w:b/>
          <w:bCs/>
          <w:color w:val="4F46E5"/>
          <w:sz w:val="20"/>
          <w:szCs w:val="20"/>
        </w:rPr>
        <w:t xml:space="preserve">DOCUMENTO LEGAL · PLANTILLA</w:t>
      </w:r>
    </w:p>
    <w:p>
      <w:pPr>
        <w:spacing w:before="40"/>
      </w:pPr>
      <w:r>
        <w:rPr>
          <w:color w:val="475569"/>
          <w:sz w:val="18"/>
          <w:szCs w:val="18"/>
        </w:rPr>
        <w:t xml:space="preserve">Asesor financiero personal con IA, en español  ·  Versión 0.1.0  ·  Junio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24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Plantilla orientativa</w:t>
            </w:r>
          </w:p>
          <w:p>
            <w:r>
              <w:rPr>
                <w:color w:val="0F172A"/>
                <w:sz w:val="20"/>
                <w:szCs w:val="20"/>
              </w:rPr>
              <w:t xml:space="preserve">Plantilla de partida; debe revisarse con un especialista en protección de datos para cumplir la normativa de cada país (p. ej. leyes de protección de datos personales de LatAm y, si aplica, GDPR).</w:t>
            </w:r>
          </w:p>
        </w:tc>
      </w:tr>
    </w:tbl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Quiénes somos</w:t>
      </w:r>
    </w:p>
    <w:p>
      <w:pPr>
        <w:spacing w:after="120" w:line="276"/>
      </w:pPr>
      <w:r>
        <w:t xml:space="preserve">Compound Ascend es operada por [Razón social] («nosotros»). Esta política explica qué datos recopilamos, cómo los usamos y qué derechos tiene el Usuario.</w:t>
      </w:r>
    </w:p>
    <w:p>
      <w:pPr>
        <w:pStyle w:val="Heading1"/>
      </w:pPr>
      <w:r>
        <w:t xml:space="preserve">2. Datos que recopilamos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Identidad y cuenta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Nombre, correo, credenciales (gestionadas por el proveedor de autenticación).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Datos financieros del Usuario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Ingresos, gastos, deudas, metas, activos, pasivos e inversiones que el Usuario registra.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Uso de IA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Mensajes al Coach IA, recibos escaneados y consumo de tokens.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Datos técnicos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Dispositivo, IP, eventos de seguridad y registros de auditoría.</w:t>
            </w:r>
          </w:p>
        </w:tc>
      </w:tr>
    </w:tbl>
    <w:p>
      <w:pPr>
        <w:pStyle w:val="Heading1"/>
      </w:pPr>
      <w:r>
        <w:t xml:space="preserve">3. Cómo usamos los datos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Para prestar el servicio: calcular diagnósticos, indicadores y recomendaciones.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Para seguridad: prevención de fraude, control de acceso y auditoría.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Para mejorar el producto y, con consentimiento, para análisis y comunicaciones.</w:t>
      </w:r>
    </w:p>
    <w:p>
      <w:pPr>
        <w:pStyle w:val="Heading1"/>
      </w:pPr>
      <w:r>
        <w:t xml:space="preserve">4. Base legal y consentimiento</w:t>
      </w:r>
    </w:p>
    <w:p>
      <w:pPr>
        <w:spacing w:after="120" w:line="276"/>
      </w:pPr>
      <w:r>
        <w:t xml:space="preserve">Tratamos los datos sobre la base de la ejecución del contrato (prestar el servicio), el consentimiento (analítica y marketing) y el interés legítimo (seguridad). El Usuario puede retirar su consentimiento en cualquier momento.</w:t>
      </w:r>
    </w:p>
    <w:p>
      <w:pPr>
        <w:pStyle w:val="Heading1"/>
      </w:pPr>
      <w:r>
        <w:t xml:space="preserve">5. Proveedores y terceros</w:t>
      </w:r>
    </w:p>
    <w:p>
      <w:pPr>
        <w:spacing w:after="120" w:line="276"/>
      </w:pPr>
      <w:r>
        <w:t xml:space="preserve">Compartimos datos estrictamente necesarios con proveedores que nos prestan servicios: Supabase (base de datos y autenticación), el proveedor de IA, los proveedores de datos de mercado y la pasarela de pagos. No vendemos datos personales.</w:t>
      </w:r>
    </w:p>
    <w:p>
      <w:pPr>
        <w:pStyle w:val="Heading1"/>
      </w:pPr>
      <w:r>
        <w:t xml:space="preserve">6. Seguridad</w:t>
      </w:r>
    </w:p>
    <w:p>
      <w:pPr>
        <w:spacing w:after="120" w:line="276"/>
      </w:pPr>
      <w:r>
        <w:t xml:space="preserve">Aplicamos seguridad de grado financiero: aislamiento por usuario (RLS), cifrado en tránsito, control de acceso, límites de uso, cabeceras de seguridad y registros de auditoría. Ningún sistema es infalible, pero documentamos y mitigamos riesgos.</w:t>
      </w:r>
    </w:p>
    <w:p>
      <w:pPr>
        <w:pStyle w:val="Heading1"/>
      </w:pPr>
      <w:r>
        <w:t xml:space="preserve">7. Conservación</w:t>
      </w:r>
    </w:p>
    <w:p>
      <w:pPr>
        <w:spacing w:after="120" w:line="276"/>
      </w:pPr>
      <w:r>
        <w:t xml:space="preserve">Conservamos los datos mientras la cuenta esté activa y durante el tiempo necesario para cumplir obligaciones legales. El Usuario puede solicitar la eliminación de su cuenta y datos.</w:t>
      </w:r>
    </w:p>
    <w:p>
      <w:pPr>
        <w:pStyle w:val="Heading1"/>
      </w:pPr>
      <w:r>
        <w:t xml:space="preserve">8. Derechos del Usuario</w:t>
      </w:r>
    </w:p>
    <w:p>
      <w:pPr>
        <w:spacing w:after="120" w:line="276"/>
      </w:pPr>
      <w:r>
        <w:t xml:space="preserve">Según la normativa aplicable, el Usuario puede acceder, rectificar, eliminar, portar y oponerse al tratamiento de sus datos, así como presentar reclamaciones ante la autoridad competente. Para ejercerlos: [correo de privacidad].</w:t>
      </w:r>
    </w:p>
    <w:p>
      <w:pPr>
        <w:pStyle w:val="Heading1"/>
      </w:pPr>
      <w:r>
        <w:t xml:space="preserve">9. Menores</w:t>
      </w:r>
    </w:p>
    <w:p>
      <w:pPr>
        <w:spacing w:after="120" w:line="276"/>
      </w:pPr>
      <w:r>
        <w:t xml:space="preserve">La Aplicación no está dirigida a menores de edad y no recopila conscientemente sus datos.</w:t>
      </w:r>
    </w:p>
    <w:p>
      <w:pPr>
        <w:pStyle w:val="Heading1"/>
      </w:pPr>
      <w:r>
        <w:t xml:space="preserve">10. Cambios y contacto</w:t>
      </w:r>
    </w:p>
    <w:p>
      <w:pPr>
        <w:spacing w:after="120" w:line="276"/>
      </w:pPr>
      <w:r>
        <w:t xml:space="preserve">Podemos actualizar esta política y notificaremos los cambios relevantes. Contacto del responsable de datos: [correo] · [domicilio]. Última actualización: [fecha].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jc w:val="center"/>
    </w:pPr>
    <w:r>
      <w:rPr>
        <w:color w:val="475569"/>
        <w:sz w:val="16"/>
        <w:szCs w:val="16"/>
      </w:rPr>
      <w:t xml:space="preserve">Compound Ascend · Política de Privacidad   —   </w:t>
    </w:r>
    <w:r>
      <w:rPr>
        <w:color w:val="475569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59669"/>
      </w:r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0B1F3A"/>
      <w:sz w:val="60"/>
      <w:szCs w:val="60"/>
    </w:rPr>
  </w:style>
  <w:style w:type="paragraph" w:styleId="Heading1">
    <w:name w:val="Heading 1"/>
    <w:basedOn w:val="Normal"/>
    <w:next w:val="Normal"/>
    <w:qFormat/>
    <w:pPr>
      <w:pBdr>
        <w:bottom w:val="single" w:color="059669" w:sz="10" w:space="6"/>
      </w:pBdr>
      <w:spacing w:after="140" w:before="320"/>
      <w:outlineLvl w:val="0"/>
    </w:pPr>
    <w:rPr>
      <w:rFonts w:ascii="Calibri" w:cs="Calibri" w:eastAsia="Calibri" w:hAnsi="Calibri"/>
      <w:b/>
      <w:bCs/>
      <w:color w:val="0B1F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4F46E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2026-06-02T15:40:32.618Z</dcterms:created>
  <dcterms:modified xsi:type="dcterms:W3CDTF">2026-06-02T15:40:32.618Z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