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Xdf5c8b14b84c942dbacf91009bdb477206779fd"/>
    <w:p>
      <w:pPr>
        <w:pStyle w:val="Heading2"/>
      </w:pPr>
      <w:r>
        <w:t xml:space="preserve">Related Work: Public Eye-Tracking Datasets</w:t>
      </w:r>
    </w:p>
    <w:bookmarkStart w:id="20" w:name="approach"/>
    <w:p>
      <w:pPr>
        <w:pStyle w:val="Heading3"/>
      </w:pPr>
      <w:r>
        <w:t xml:space="preserve">Approach</w:t>
      </w:r>
    </w:p>
    <w:p>
      <w:pPr>
        <w:pStyle w:val="FirstParagraph"/>
      </w:pPr>
      <w:r>
        <w:t xml:space="preserve">DECODE uses eye-tracking data that was recorded while two groups of programmers, novice and experienced, read the same code. Scanpath Trend Analysis (STA) [13] builds one trending path for each group. A new programmer’s scanpath on the same code is compared with both trending paths, and the programmer is classified into the group whose trending path is more similar. Trending paths depend on the code, so each code snippet needs its own pair of trending paths.</w:t>
      </w:r>
    </w:p>
    <w:bookmarkEnd w:id="20"/>
    <w:bookmarkStart w:id="21" w:name="datasets"/>
    <w:p>
      <w:pPr>
        <w:pStyle w:val="Heading3"/>
      </w:pPr>
      <w:r>
        <w:t xml:space="preserve">Datasets</w:t>
      </w:r>
    </w:p>
    <w:p>
      <w:pPr>
        <w:pStyle w:val="FirstParagraph"/>
      </w:pPr>
      <w:r>
        <w:t xml:space="preserve">DECODE builds its novice and experienced trending paths from public data, so we reviewed public eye-tracking datasets on code reading. Following the supervisors’ guidance, a dataset can be used, or merged with another, only if it has:</w:t>
      </w:r>
    </w:p>
    <w:p>
      <w:pPr>
        <w:numPr>
          <w:ilvl w:val="0"/>
          <w:numId w:val="1001"/>
        </w:numPr>
        <w:pStyle w:val="Compact"/>
      </w:pPr>
      <w:r>
        <w:t xml:space="preserve">the same programming language,</w:t>
      </w:r>
    </w:p>
    <w:p>
      <w:pPr>
        <w:numPr>
          <w:ilvl w:val="0"/>
          <w:numId w:val="1001"/>
        </w:numPr>
        <w:pStyle w:val="Compact"/>
      </w:pPr>
      <w:r>
        <w:t xml:space="preserve">novice / experienced labels,</w:t>
      </w:r>
    </w:p>
    <w:p>
      <w:pPr>
        <w:numPr>
          <w:ilvl w:val="0"/>
          <w:numId w:val="1001"/>
        </w:numPr>
        <w:pStyle w:val="Compact"/>
      </w:pPr>
      <w:r>
        <w:t xml:space="preserve">the same task (reading the same code).</w:t>
      </w:r>
    </w:p>
    <w:p>
      <w:pPr>
        <w:pStyle w:val="FirstParagraph"/>
      </w:pPr>
      <w:r>
        <w:t xml:space="preserve">Table 1 describes the datasets and Table 2 shows their access and our decision.</w:t>
      </w:r>
    </w:p>
    <w:p>
      <w:pPr>
        <w:pStyle w:val="BodyText"/>
      </w:pPr>
      <w:r>
        <w:rPr>
          <w:bCs/>
          <w:b/>
        </w:rPr>
        <w:t xml:space="preserve">Table 1.</w:t>
      </w:r>
      <w:r>
        <w:t xml:space="preserve"> </w:t>
      </w:r>
      <w:r>
        <w:t xml:space="preserve">Public eye-tracking datasets on code reading.</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rPr>
                <w:b/>
                <w:sz w:val="18"/>
              </w:rPr>
              <w:t xml:space="preserve">Dataset</w:t>
            </w:r>
          </w:p>
        </w:tc>
        <w:tc>
          <w:tcPr/>
          <w:p>
            <w:pPr>
              <w:pStyle w:val="Compact"/>
              <w:jc w:val="left"/>
            </w:pPr>
            <w:r>
              <w:rPr>
                <w:b/>
                <w:sz w:val="18"/>
              </w:rPr>
              <w:t xml:space="preserve">Language</w:t>
            </w:r>
          </w:p>
        </w:tc>
        <w:tc>
          <w:tcPr/>
          <w:p>
            <w:pPr>
              <w:pStyle w:val="Compact"/>
              <w:jc w:val="left"/>
            </w:pPr>
            <w:r>
              <w:rPr>
                <w:b/>
                <w:sz w:val="18"/>
              </w:rPr>
              <w:t xml:space="preserve">Participants</w:t>
            </w:r>
          </w:p>
        </w:tc>
        <w:tc>
          <w:tcPr/>
          <w:p>
            <w:pPr>
              <w:pStyle w:val="Compact"/>
              <w:jc w:val="left"/>
            </w:pPr>
            <w:r>
              <w:rPr>
                <w:b/>
                <w:sz w:val="18"/>
              </w:rPr>
              <w:t xml:space="preserve">Experience labels</w:t>
            </w:r>
          </w:p>
        </w:tc>
        <w:tc>
          <w:tcPr/>
          <w:p>
            <w:pPr>
              <w:pStyle w:val="Compact"/>
              <w:jc w:val="left"/>
            </w:pPr>
            <w:r>
              <w:rPr>
                <w:b/>
                <w:sz w:val="18"/>
              </w:rPr>
              <w:t xml:space="preserve">Raw gaze (x, y, time)</w:t>
            </w:r>
          </w:p>
        </w:tc>
        <w:tc>
          <w:tcPr/>
          <w:p>
            <w:pPr>
              <w:pStyle w:val="Compact"/>
              <w:jc w:val="left"/>
            </w:pPr>
            <w:r>
              <w:rPr>
                <w:b/>
                <w:sz w:val="18"/>
              </w:rPr>
              <w:t xml:space="preserve">Same code for all</w:t>
            </w:r>
          </w:p>
        </w:tc>
        <w:tc>
          <w:tcPr/>
          <w:p>
            <w:pPr>
              <w:pStyle w:val="Compact"/>
              <w:jc w:val="left"/>
            </w:pPr>
            <w:r>
              <w:rPr>
                <w:b/>
                <w:sz w:val="18"/>
              </w:rPr>
              <w:t xml:space="preserve">AOI level</w:t>
            </w:r>
          </w:p>
        </w:tc>
      </w:tr>
      <w:tr>
        <w:tc>
          <w:tcPr/>
          <w:p>
            <w:pPr>
              <w:pStyle w:val="Compact"/>
              <w:jc w:val="left"/>
            </w:pPr>
            <w:r>
              <w:rPr>
                <w:sz w:val="18"/>
              </w:rPr>
              <w:t xml:space="preserve">EMIP [1]</w:t>
            </w:r>
          </w:p>
        </w:tc>
        <w:tc>
          <w:tcPr/>
          <w:p>
            <w:pPr>
              <w:pStyle w:val="Compact"/>
              <w:jc w:val="left"/>
            </w:pPr>
            <w:r>
              <w:rPr>
                <w:sz w:val="18"/>
              </w:rPr>
              <w:t xml:space="preserve">Java (95.8%), Python, Scala</w:t>
            </w:r>
          </w:p>
        </w:tc>
        <w:tc>
          <w:tcPr/>
          <w:p>
            <w:pPr>
              <w:pStyle w:val="Compact"/>
              <w:jc w:val="left"/>
            </w:pPr>
            <w:r>
              <w:rPr>
                <w:sz w:val="18"/>
              </w:rPr>
              <w:t xml:space="preserve">216</w:t>
            </w:r>
          </w:p>
        </w:tc>
        <w:tc>
          <w:tcPr/>
          <w:p>
            <w:pPr>
              <w:pStyle w:val="Compact"/>
              <w:jc w:val="left"/>
            </w:pPr>
            <w:r>
              <w:rPr>
                <w:sz w:val="18"/>
              </w:rPr>
              <w:t xml:space="preserve">Self-rated expertise, years of programming</w:t>
            </w:r>
          </w:p>
        </w:tc>
        <w:tc>
          <w:tcPr/>
          <w:p>
            <w:pPr>
              <w:pStyle w:val="Compact"/>
              <w:jc w:val="left"/>
            </w:pPr>
            <w:r>
              <w:rPr>
                <w:sz w:val="18"/>
              </w:rPr>
              <w:t xml:space="preserve">Yes</w:t>
            </w:r>
          </w:p>
        </w:tc>
        <w:tc>
          <w:tcPr/>
          <w:p>
            <w:pPr>
              <w:pStyle w:val="Compact"/>
              <w:jc w:val="left"/>
            </w:pPr>
            <w:r>
              <w:rPr>
                <w:sz w:val="18"/>
              </w:rPr>
              <w:t xml:space="preserve">Yes: 2 programs</w:t>
            </w:r>
          </w:p>
        </w:tc>
        <w:tc>
          <w:tcPr/>
          <w:p>
            <w:pPr>
              <w:pStyle w:val="Compact"/>
              <w:jc w:val="left"/>
            </w:pPr>
            <w:r>
              <w:rPr>
                <w:sz w:val="18"/>
              </w:rPr>
              <w:t xml:space="preserve">Token, with line numbers [2]; can be grouped into blocks</w:t>
            </w:r>
          </w:p>
        </w:tc>
      </w:tr>
      <w:tr>
        <w:tc>
          <w:tcPr/>
          <w:p>
            <w:pPr>
              <w:pStyle w:val="Compact"/>
              <w:jc w:val="left"/>
            </w:pPr>
            <w:r>
              <w:rPr>
                <w:sz w:val="18"/>
              </w:rPr>
              <w:t xml:space="preserve">Corrected EMIP [2]</w:t>
            </w:r>
          </w:p>
        </w:tc>
        <w:tc>
          <w:tcPr/>
          <w:p>
            <w:pPr>
              <w:pStyle w:val="Compact"/>
              <w:jc w:val="left"/>
            </w:pPr>
            <w:r>
              <w:rPr>
                <w:sz w:val="18"/>
              </w:rPr>
              <w:t xml:space="preserve">Java, Python</w:t>
            </w:r>
          </w:p>
        </w:tc>
        <w:tc>
          <w:tcPr/>
          <w:p>
            <w:pPr>
              <w:pStyle w:val="Compact"/>
              <w:jc w:val="left"/>
            </w:pPr>
            <w:r>
              <w:rPr>
                <w:sz w:val="18"/>
              </w:rPr>
              <w:t xml:space="preserve">159</w:t>
            </w:r>
          </w:p>
        </w:tc>
        <w:tc>
          <w:tcPr/>
          <w:p>
            <w:pPr>
              <w:pStyle w:val="Compact"/>
              <w:jc w:val="left"/>
            </w:pPr>
            <w:r>
              <w:rPr>
                <w:sz w:val="18"/>
              </w:rPr>
              <w:t xml:space="preserve">Via EMIP metadata</w:t>
            </w:r>
          </w:p>
        </w:tc>
        <w:tc>
          <w:tcPr/>
          <w:p>
            <w:pPr>
              <w:pStyle w:val="Compact"/>
              <w:jc w:val="left"/>
            </w:pPr>
            <w:r>
              <w:rPr>
                <w:sz w:val="18"/>
              </w:rPr>
              <w:t xml:space="preserve">No, fixations mapped to tokens and lines</w:t>
            </w:r>
          </w:p>
        </w:tc>
        <w:tc>
          <w:tcPr/>
          <w:p>
            <w:pPr>
              <w:pStyle w:val="Compact"/>
              <w:jc w:val="left"/>
            </w:pPr>
            <w:r>
              <w:rPr>
                <w:sz w:val="18"/>
              </w:rPr>
              <w:t xml:space="preserve">Yes: 2 programs</w:t>
            </w:r>
          </w:p>
        </w:tc>
        <w:tc>
          <w:tcPr/>
          <w:p>
            <w:pPr>
              <w:pStyle w:val="Compact"/>
              <w:jc w:val="left"/>
            </w:pPr>
            <w:r>
              <w:rPr>
                <w:sz w:val="18"/>
              </w:rPr>
              <w:t xml:space="preserve">Token and line; can be grouped into blocks</w:t>
            </w:r>
          </w:p>
        </w:tc>
      </w:tr>
      <w:tr>
        <w:tc>
          <w:tcPr/>
          <w:p>
            <w:pPr>
              <w:pStyle w:val="Compact"/>
              <w:jc w:val="left"/>
            </w:pPr>
            <w:r>
              <w:rPr>
                <w:sz w:val="18"/>
              </w:rPr>
              <w:t xml:space="preserve">Peitek et al. [3]</w:t>
            </w:r>
          </w:p>
        </w:tc>
        <w:tc>
          <w:tcPr/>
          <w:p>
            <w:pPr>
              <w:pStyle w:val="Compact"/>
              <w:jc w:val="left"/>
            </w:pPr>
            <w:r>
              <w:rPr>
                <w:sz w:val="18"/>
              </w:rPr>
              <w:t xml:space="preserve">Java</w:t>
            </w:r>
          </w:p>
        </w:tc>
        <w:tc>
          <w:tcPr/>
          <w:p>
            <w:pPr>
              <w:pStyle w:val="Compact"/>
              <w:jc w:val="left"/>
            </w:pPr>
            <w:r>
              <w:rPr>
                <w:sz w:val="18"/>
              </w:rPr>
              <w:t xml:space="preserve">12 novice, 19 experienced</w:t>
            </w:r>
          </w:p>
        </w:tc>
        <w:tc>
          <w:tcPr/>
          <w:p>
            <w:pPr>
              <w:pStyle w:val="Compact"/>
              <w:jc w:val="left"/>
            </w:pPr>
            <w:r>
              <w:rPr>
                <w:sz w:val="18"/>
              </w:rPr>
              <w:t xml:space="preserve">Group labels</w:t>
            </w:r>
          </w:p>
        </w:tc>
        <w:tc>
          <w:tcPr/>
          <w:p>
            <w:pPr>
              <w:pStyle w:val="Compact"/>
              <w:jc w:val="left"/>
            </w:pPr>
            <w:r>
              <w:rPr>
                <w:sz w:val="18"/>
              </w:rPr>
              <w:t xml:space="preserve">Yes</w:t>
            </w:r>
          </w:p>
        </w:tc>
        <w:tc>
          <w:tcPr/>
          <w:p>
            <w:pPr>
              <w:pStyle w:val="Compact"/>
              <w:jc w:val="left"/>
            </w:pPr>
            <w:r>
              <w:rPr>
                <w:sz w:val="18"/>
              </w:rPr>
              <w:t xml:space="preserve">Yes: 10 programs</w:t>
            </w:r>
          </w:p>
        </w:tc>
        <w:tc>
          <w:tcPr/>
          <w:p>
            <w:pPr>
              <w:pStyle w:val="Compact"/>
              <w:jc w:val="left"/>
            </w:pPr>
            <w:r>
              <w:rPr>
                <w:sz w:val="18"/>
              </w:rPr>
              <w:t xml:space="preserve">Line and block (blocks already defined)</w:t>
            </w:r>
          </w:p>
        </w:tc>
      </w:tr>
      <w:tr>
        <w:tc>
          <w:tcPr/>
          <w:p>
            <w:pPr>
              <w:pStyle w:val="Compact"/>
              <w:jc w:val="left"/>
            </w:pPr>
            <w:r>
              <w:rPr>
                <w:sz w:val="18"/>
              </w:rPr>
              <w:t xml:space="preserve">Busjahn et al. [4], [5]</w:t>
            </w:r>
          </w:p>
        </w:tc>
        <w:tc>
          <w:tcPr/>
          <w:p>
            <w:pPr>
              <w:pStyle w:val="Compact"/>
              <w:jc w:val="left"/>
            </w:pPr>
            <w:r>
              <w:rPr>
                <w:sz w:val="18"/>
              </w:rPr>
              <w:t xml:space="preserve">Java, pseudocode</w:t>
            </w:r>
          </w:p>
        </w:tc>
        <w:tc>
          <w:tcPr/>
          <w:p>
            <w:pPr>
              <w:pStyle w:val="Compact"/>
              <w:jc w:val="left"/>
            </w:pPr>
            <w:r>
              <w:rPr>
                <w:sz w:val="18"/>
              </w:rPr>
              <w:t xml:space="preserve">14 novice, 6 expert</w:t>
            </w:r>
          </w:p>
        </w:tc>
        <w:tc>
          <w:tcPr/>
          <w:p>
            <w:pPr>
              <w:pStyle w:val="Compact"/>
              <w:jc w:val="left"/>
            </w:pPr>
            <w:r>
              <w:rPr>
                <w:sz w:val="18"/>
              </w:rPr>
              <w:t xml:space="preserve">Group labels</w:t>
            </w:r>
          </w:p>
        </w:tc>
        <w:tc>
          <w:tcPr/>
          <w:p>
            <w:pPr>
              <w:pStyle w:val="Compact"/>
              <w:jc w:val="left"/>
            </w:pPr>
            <w:r>
              <w:rPr>
                <w:sz w:val="18"/>
              </w:rPr>
              <w:t xml:space="preserve">n/r</w:t>
            </w:r>
          </w:p>
        </w:tc>
        <w:tc>
          <w:tcPr/>
          <w:p>
            <w:pPr>
              <w:pStyle w:val="Compact"/>
              <w:jc w:val="left"/>
            </w:pPr>
            <w:r>
              <w:rPr>
                <w:sz w:val="18"/>
              </w:rPr>
              <w:t xml:space="preserve">Partly: 2 of 6 programs shared</w:t>
            </w:r>
          </w:p>
        </w:tc>
        <w:tc>
          <w:tcPr/>
          <w:p>
            <w:pPr>
              <w:pStyle w:val="Compact"/>
              <w:jc w:val="left"/>
            </w:pPr>
            <w:r>
              <w:rPr>
                <w:sz w:val="18"/>
              </w:rPr>
              <w:t xml:space="preserve">Token [5]; data not checked</w:t>
            </w:r>
          </w:p>
        </w:tc>
      </w:tr>
      <w:tr>
        <w:tc>
          <w:tcPr/>
          <w:p>
            <w:pPr>
              <w:pStyle w:val="Compact"/>
              <w:jc w:val="left"/>
            </w:pPr>
            <w:r>
              <w:rPr>
                <w:sz w:val="18"/>
              </w:rPr>
              <w:t xml:space="preserve">McChesney &amp; Bond [6]</w:t>
            </w:r>
          </w:p>
        </w:tc>
        <w:tc>
          <w:tcPr/>
          <w:p>
            <w:pPr>
              <w:pStyle w:val="Compact"/>
              <w:jc w:val="left"/>
            </w:pPr>
            <w:r>
              <w:rPr>
                <w:sz w:val="18"/>
              </w:rPr>
              <w:t xml:space="preserve">Java</w:t>
            </w:r>
          </w:p>
        </w:tc>
        <w:tc>
          <w:tcPr/>
          <w:p>
            <w:pPr>
              <w:pStyle w:val="Compact"/>
              <w:jc w:val="left"/>
            </w:pPr>
            <w:r>
              <w:rPr>
                <w:sz w:val="18"/>
              </w:rPr>
              <w:t xml:space="preserve">30 (14 with dyslexia)</w:t>
            </w:r>
          </w:p>
        </w:tc>
        <w:tc>
          <w:tcPr/>
          <w:p>
            <w:pPr>
              <w:pStyle w:val="Compact"/>
              <w:jc w:val="left"/>
            </w:pPr>
            <w:r>
              <w:rPr>
                <w:sz w:val="18"/>
              </w:rPr>
              <w:t xml:space="preserve">Self-rated, mostly</w:t>
            </w:r>
            <w:r>
              <w:rPr>
                <w:sz w:val="18"/>
              </w:rPr>
              <w:t xml:space="preserve"> </w:t>
            </w:r>
            <w:r>
              <w:rPr>
                <w:sz w:val="18"/>
              </w:rPr>
              <w:t xml:space="preserve">“</w:t>
            </w:r>
            <w:r>
              <w:rPr>
                <w:sz w:val="18"/>
              </w:rPr>
              <w:t xml:space="preserve">medium</w:t>
            </w:r>
            <w:r>
              <w:rPr>
                <w:sz w:val="18"/>
              </w:rPr>
              <w:t xml:space="preserve">”</w:t>
            </w:r>
          </w:p>
        </w:tc>
        <w:tc>
          <w:tcPr/>
          <w:p>
            <w:pPr>
              <w:pStyle w:val="Compact"/>
              <w:jc w:val="left"/>
            </w:pPr>
            <w:r>
              <w:rPr>
                <w:sz w:val="18"/>
              </w:rPr>
              <w:t xml:space="preserve">Yes</w:t>
            </w:r>
          </w:p>
        </w:tc>
        <w:tc>
          <w:tcPr/>
          <w:p>
            <w:pPr>
              <w:pStyle w:val="Compact"/>
              <w:jc w:val="left"/>
            </w:pPr>
            <w:r>
              <w:rPr>
                <w:sz w:val="18"/>
              </w:rPr>
              <w:t xml:space="preserve">Yes: 3 programs</w:t>
            </w:r>
          </w:p>
        </w:tc>
        <w:tc>
          <w:tcPr/>
          <w:p>
            <w:pPr>
              <w:pStyle w:val="Compact"/>
              <w:jc w:val="left"/>
            </w:pPr>
            <w:r>
              <w:rPr>
                <w:sz w:val="18"/>
              </w:rPr>
              <w:t xml:space="preserve">Line and code part; can be grouped into blocks</w:t>
            </w:r>
          </w:p>
        </w:tc>
      </w:tr>
      <w:tr>
        <w:tc>
          <w:tcPr/>
          <w:p>
            <w:pPr>
              <w:pStyle w:val="Compact"/>
              <w:jc w:val="left"/>
            </w:pPr>
            <w:r>
              <w:rPr>
                <w:sz w:val="18"/>
              </w:rPr>
              <w:t xml:space="preserve">Abid et al. [7]</w:t>
            </w:r>
          </w:p>
        </w:tc>
        <w:tc>
          <w:tcPr/>
          <w:p>
            <w:pPr>
              <w:pStyle w:val="Compact"/>
              <w:jc w:val="left"/>
            </w:pPr>
            <w:r>
              <w:rPr>
                <w:sz w:val="18"/>
              </w:rPr>
              <w:t xml:space="preserve">Java</w:t>
            </w:r>
          </w:p>
        </w:tc>
        <w:tc>
          <w:tcPr/>
          <w:p>
            <w:pPr>
              <w:pStyle w:val="Compact"/>
              <w:jc w:val="left"/>
            </w:pPr>
            <w:r>
              <w:rPr>
                <w:sz w:val="18"/>
              </w:rPr>
              <w:t xml:space="preserve">13 novice, 5 expert</w:t>
            </w:r>
          </w:p>
        </w:tc>
        <w:tc>
          <w:tcPr/>
          <w:p>
            <w:pPr>
              <w:pStyle w:val="Compact"/>
              <w:jc w:val="left"/>
            </w:pPr>
            <w:r>
              <w:rPr>
                <w:sz w:val="18"/>
              </w:rPr>
              <w:t xml:space="preserve">Group labels</w:t>
            </w:r>
          </w:p>
        </w:tc>
        <w:tc>
          <w:tcPr/>
          <w:p>
            <w:pPr>
              <w:pStyle w:val="Compact"/>
              <w:jc w:val="left"/>
            </w:pPr>
            <w:r>
              <w:rPr>
                <w:sz w:val="18"/>
              </w:rPr>
              <w:t xml:space="preserve">Processed (iTrace)</w:t>
            </w:r>
          </w:p>
        </w:tc>
        <w:tc>
          <w:tcPr/>
          <w:p>
            <w:pPr>
              <w:pStyle w:val="Compact"/>
              <w:jc w:val="left"/>
            </w:pPr>
            <w:r>
              <w:rPr>
                <w:sz w:val="18"/>
              </w:rPr>
              <w:t xml:space="preserve">No: 63 methods</w:t>
            </w:r>
          </w:p>
        </w:tc>
        <w:tc>
          <w:tcPr/>
          <w:p>
            <w:pPr>
              <w:pStyle w:val="Compact"/>
              <w:jc w:val="left"/>
            </w:pPr>
            <w:r>
              <w:rPr>
                <w:sz w:val="18"/>
              </w:rPr>
              <w:t xml:space="preserve">Line and column (iTrace)</w:t>
            </w:r>
          </w:p>
        </w:tc>
      </w:tr>
      <w:tr>
        <w:tc>
          <w:tcPr/>
          <w:p>
            <w:pPr>
              <w:pStyle w:val="Compact"/>
              <w:jc w:val="left"/>
            </w:pPr>
            <w:r>
              <w:rPr>
                <w:sz w:val="18"/>
              </w:rPr>
              <w:t xml:space="preserve">Fang et al. [8]</w:t>
            </w:r>
          </w:p>
        </w:tc>
        <w:tc>
          <w:tcPr/>
          <w:p>
            <w:pPr>
              <w:pStyle w:val="Compact"/>
              <w:jc w:val="left"/>
            </w:pPr>
            <w:r>
              <w:rPr>
                <w:sz w:val="18"/>
              </w:rPr>
              <w:t xml:space="preserve">n/r</w:t>
            </w:r>
          </w:p>
        </w:tc>
        <w:tc>
          <w:tcPr/>
          <w:p>
            <w:pPr>
              <w:pStyle w:val="Compact"/>
              <w:jc w:val="left"/>
            </w:pPr>
            <w:r>
              <w:rPr>
                <w:sz w:val="18"/>
              </w:rPr>
              <w:t xml:space="preserve">49 lab, 10 remote</w:t>
            </w:r>
          </w:p>
        </w:tc>
        <w:tc>
          <w:tcPr/>
          <w:p>
            <w:pPr>
              <w:pStyle w:val="Compact"/>
              <w:jc w:val="left"/>
            </w:pPr>
            <w:r>
              <w:rPr>
                <w:sz w:val="18"/>
              </w:rPr>
              <w:t xml:space="preserve">None</w:t>
            </w:r>
          </w:p>
        </w:tc>
        <w:tc>
          <w:tcPr/>
          <w:p>
            <w:pPr>
              <w:pStyle w:val="Compact"/>
              <w:jc w:val="left"/>
            </w:pPr>
            <w:r>
              <w:rPr>
                <w:sz w:val="18"/>
              </w:rPr>
              <w:t xml:space="preserve">Yes</w:t>
            </w:r>
          </w:p>
        </w:tc>
        <w:tc>
          <w:tcPr/>
          <w:p>
            <w:pPr>
              <w:pStyle w:val="Compact"/>
              <w:jc w:val="left"/>
            </w:pPr>
            <w:r>
              <w:rPr>
                <w:sz w:val="18"/>
              </w:rPr>
              <w:t xml:space="preserve">n/r</w:t>
            </w:r>
          </w:p>
        </w:tc>
        <w:tc>
          <w:tcPr/>
          <w:p>
            <w:pPr>
              <w:pStyle w:val="Compact"/>
              <w:jc w:val="left"/>
            </w:pPr>
            <w:r>
              <w:rPr>
                <w:sz w:val="18"/>
              </w:rPr>
              <w:t xml:space="preserve">n/r</w:t>
            </w:r>
          </w:p>
        </w:tc>
      </w:tr>
      <w:tr>
        <w:tc>
          <w:tcPr/>
          <w:p>
            <w:pPr>
              <w:pStyle w:val="Compact"/>
              <w:jc w:val="left"/>
            </w:pPr>
            <w:r>
              <w:rPr>
                <w:sz w:val="18"/>
              </w:rPr>
              <w:t xml:space="preserve">EyeTrans [9]</w:t>
            </w:r>
          </w:p>
        </w:tc>
        <w:tc>
          <w:tcPr/>
          <w:p>
            <w:pPr>
              <w:pStyle w:val="Compact"/>
              <w:jc w:val="left"/>
            </w:pPr>
            <w:r>
              <w:rPr>
                <w:sz w:val="18"/>
              </w:rPr>
              <w:t xml:space="preserve">Java</w:t>
            </w:r>
          </w:p>
        </w:tc>
        <w:tc>
          <w:tcPr/>
          <w:p>
            <w:pPr>
              <w:pStyle w:val="Compact"/>
              <w:jc w:val="left"/>
            </w:pPr>
            <w:r>
              <w:rPr>
                <w:sz w:val="18"/>
              </w:rPr>
              <w:t xml:space="preserve">27</w:t>
            </w:r>
          </w:p>
        </w:tc>
        <w:tc>
          <w:tcPr/>
          <w:p>
            <w:pPr>
              <w:pStyle w:val="Compact"/>
              <w:jc w:val="left"/>
            </w:pPr>
            <w:r>
              <w:rPr>
                <w:sz w:val="18"/>
              </w:rPr>
              <w:t xml:space="preserve">None</w:t>
            </w:r>
          </w:p>
        </w:tc>
        <w:tc>
          <w:tcPr/>
          <w:p>
            <w:pPr>
              <w:pStyle w:val="Compact"/>
              <w:jc w:val="left"/>
            </w:pPr>
            <w:r>
              <w:rPr>
                <w:sz w:val="18"/>
              </w:rPr>
              <w:t xml:space="preserve">Yes</w:t>
            </w:r>
          </w:p>
        </w:tc>
        <w:tc>
          <w:tcPr/>
          <w:p>
            <w:pPr>
              <w:pStyle w:val="Compact"/>
              <w:jc w:val="left"/>
            </w:pPr>
            <w:r>
              <w:rPr>
                <w:sz w:val="18"/>
              </w:rPr>
              <w:t xml:space="preserve">No: 162 methods</w:t>
            </w:r>
          </w:p>
        </w:tc>
        <w:tc>
          <w:tcPr/>
          <w:p>
            <w:pPr>
              <w:pStyle w:val="Compact"/>
              <w:jc w:val="left"/>
            </w:pPr>
            <w:r>
              <w:rPr>
                <w:sz w:val="18"/>
              </w:rPr>
              <w:t xml:space="preserve">Token</w:t>
            </w:r>
          </w:p>
        </w:tc>
      </w:tr>
      <w:tr>
        <w:tc>
          <w:tcPr/>
          <w:p>
            <w:pPr>
              <w:pStyle w:val="Compact"/>
              <w:jc w:val="left"/>
            </w:pPr>
            <w:r>
              <w:rPr>
                <w:sz w:val="18"/>
              </w:rPr>
              <w:t xml:space="preserve">Wallace et al. [10]</w:t>
            </w:r>
          </w:p>
        </w:tc>
        <w:tc>
          <w:tcPr/>
          <w:p>
            <w:pPr>
              <w:pStyle w:val="Compact"/>
              <w:jc w:val="left"/>
            </w:pPr>
            <w:r>
              <w:rPr>
                <w:sz w:val="18"/>
              </w:rPr>
              <w:t xml:space="preserve">Java</w:t>
            </w:r>
          </w:p>
        </w:tc>
        <w:tc>
          <w:tcPr/>
          <w:p>
            <w:pPr>
              <w:pStyle w:val="Compact"/>
              <w:jc w:val="left"/>
            </w:pPr>
            <w:r>
              <w:rPr>
                <w:sz w:val="18"/>
              </w:rPr>
              <w:t xml:space="preserve">10</w:t>
            </w:r>
          </w:p>
        </w:tc>
        <w:tc>
          <w:tcPr/>
          <w:p>
            <w:pPr>
              <w:pStyle w:val="Compact"/>
              <w:jc w:val="left"/>
            </w:pPr>
            <w:r>
              <w:rPr>
                <w:sz w:val="18"/>
              </w:rPr>
              <w:t xml:space="preserve">None</w:t>
            </w:r>
          </w:p>
        </w:tc>
        <w:tc>
          <w:tcPr/>
          <w:p>
            <w:pPr>
              <w:pStyle w:val="Compact"/>
              <w:jc w:val="left"/>
            </w:pPr>
            <w:r>
              <w:rPr>
                <w:sz w:val="18"/>
              </w:rPr>
              <w:t xml:space="preserve">n/r</w:t>
            </w:r>
          </w:p>
        </w:tc>
        <w:tc>
          <w:tcPr/>
          <w:p>
            <w:pPr>
              <w:pStyle w:val="Compact"/>
              <w:jc w:val="left"/>
            </w:pPr>
            <w:r>
              <w:rPr>
                <w:sz w:val="18"/>
              </w:rPr>
              <w:t xml:space="preserve">No: 40 summaries</w:t>
            </w:r>
          </w:p>
        </w:tc>
        <w:tc>
          <w:tcPr/>
          <w:p>
            <w:pPr>
              <w:pStyle w:val="Compact"/>
              <w:jc w:val="left"/>
            </w:pPr>
            <w:r>
              <w:rPr>
                <w:sz w:val="18"/>
              </w:rPr>
              <w:t xml:space="preserve">Token</w:t>
            </w:r>
          </w:p>
        </w:tc>
      </w:tr>
      <w:tr>
        <w:tc>
          <w:tcPr/>
          <w:p>
            <w:pPr>
              <w:pStyle w:val="Compact"/>
              <w:jc w:val="left"/>
            </w:pPr>
            <w:r>
              <w:rPr>
                <w:sz w:val="18"/>
              </w:rPr>
              <w:t xml:space="preserve">Al Madi &amp; Khan [11]</w:t>
            </w:r>
          </w:p>
        </w:tc>
        <w:tc>
          <w:tcPr/>
          <w:p>
            <w:pPr>
              <w:pStyle w:val="Compact"/>
              <w:jc w:val="left"/>
            </w:pPr>
            <w:r>
              <w:rPr>
                <w:sz w:val="18"/>
              </w:rPr>
              <w:t xml:space="preserve">English text, no code</w:t>
            </w:r>
          </w:p>
        </w:tc>
        <w:tc>
          <w:tcPr/>
          <w:p>
            <w:pPr>
              <w:pStyle w:val="Compact"/>
              <w:jc w:val="left"/>
            </w:pPr>
            <w:r>
              <w:rPr>
                <w:sz w:val="18"/>
              </w:rPr>
              <w:t xml:space="preserve">8</w:t>
            </w:r>
          </w:p>
        </w:tc>
        <w:tc>
          <w:tcPr/>
          <w:p>
            <w:pPr>
              <w:pStyle w:val="Compact"/>
              <w:jc w:val="left"/>
            </w:pPr>
            <w:r>
              <w:rPr>
                <w:sz w:val="18"/>
              </w:rPr>
              <w:t xml:space="preserve">n/r</w:t>
            </w:r>
          </w:p>
        </w:tc>
        <w:tc>
          <w:tcPr/>
          <w:p>
            <w:pPr>
              <w:pStyle w:val="Compact"/>
              <w:jc w:val="left"/>
            </w:pPr>
            <w:r>
              <w:rPr>
                <w:sz w:val="18"/>
              </w:rPr>
              <w:t xml:space="preserve">Yes</w:t>
            </w:r>
          </w:p>
        </w:tc>
        <w:tc>
          <w:tcPr/>
          <w:p>
            <w:pPr>
              <w:pStyle w:val="Compact"/>
              <w:jc w:val="left"/>
            </w:pPr>
            <w:r>
              <w:rPr>
                <w:sz w:val="18"/>
              </w:rPr>
              <w:t xml:space="preserve">n/a</w:t>
            </w:r>
          </w:p>
        </w:tc>
        <w:tc>
          <w:tcPr/>
          <w:p>
            <w:pPr>
              <w:pStyle w:val="Compact"/>
              <w:jc w:val="left"/>
            </w:pPr>
            <w:r>
              <w:rPr>
                <w:sz w:val="18"/>
              </w:rPr>
              <w:t xml:space="preserve">n/a</w:t>
            </w:r>
          </w:p>
        </w:tc>
      </w:tr>
    </w:tbl>
    <w:p>
      <w:pPr>
        <w:pStyle w:val="BodyText"/>
      </w:pPr>
      <w:r>
        <w:t xml:space="preserve">n/r = not reported, n/a = not applicable.</w:t>
      </w:r>
    </w:p>
    <w:p>
      <w:pPr>
        <w:pStyle w:val="BodyText"/>
      </w:pPr>
      <w:r>
        <w:rPr>
          <w:bCs/>
          <w:b/>
        </w:rPr>
        <w:t xml:space="preserve">Table 2.</w:t>
      </w:r>
      <w:r>
        <w:t xml:space="preserve"> </w:t>
      </w:r>
      <w:r>
        <w:t xml:space="preserve">Access, eye tracker and decision.</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
                <w:sz w:val="18"/>
              </w:rPr>
              <w:t xml:space="preserve">Dataset</w:t>
            </w:r>
          </w:p>
        </w:tc>
        <w:tc>
          <w:tcPr/>
          <w:p>
            <w:pPr>
              <w:pStyle w:val="Compact"/>
              <w:jc w:val="left"/>
            </w:pPr>
            <w:r>
              <w:rPr>
                <w:b/>
                <w:sz w:val="18"/>
              </w:rPr>
              <w:t xml:space="preserve">Licence</w:t>
            </w:r>
          </w:p>
        </w:tc>
        <w:tc>
          <w:tcPr/>
          <w:p>
            <w:pPr>
              <w:pStyle w:val="Compact"/>
              <w:jc w:val="left"/>
            </w:pPr>
            <w:r>
              <w:rPr>
                <w:b/>
                <w:sz w:val="18"/>
              </w:rPr>
              <w:t xml:space="preserve">Eye tracker</w:t>
            </w:r>
          </w:p>
        </w:tc>
        <w:tc>
          <w:tcPr/>
          <w:p>
            <w:pPr>
              <w:pStyle w:val="Compact"/>
              <w:jc w:val="left"/>
            </w:pPr>
            <w:r>
              <w:rPr>
                <w:b/>
                <w:sz w:val="18"/>
              </w:rPr>
              <w:t xml:space="preserve">Access</w:t>
            </w:r>
          </w:p>
        </w:tc>
        <w:tc>
          <w:tcPr/>
          <w:p>
            <w:pPr>
              <w:pStyle w:val="Compact"/>
              <w:jc w:val="left"/>
            </w:pPr>
            <w:r>
              <w:rPr>
                <w:b/>
                <w:sz w:val="18"/>
              </w:rPr>
              <w:t xml:space="preserve">Decision</w:t>
            </w:r>
          </w:p>
        </w:tc>
      </w:tr>
      <w:tr>
        <w:tc>
          <w:tcPr/>
          <w:p>
            <w:pPr>
              <w:pStyle w:val="Compact"/>
              <w:jc w:val="left"/>
            </w:pPr>
            <w:r>
              <w:rPr>
                <w:sz w:val="18"/>
              </w:rPr>
              <w:t xml:space="preserve">EMIP [1]</w:t>
            </w:r>
          </w:p>
        </w:tc>
        <w:tc>
          <w:tcPr/>
          <w:p>
            <w:pPr>
              <w:pStyle w:val="Compact"/>
              <w:jc w:val="left"/>
            </w:pPr>
            <w:r>
              <w:rPr>
                <w:sz w:val="18"/>
              </w:rPr>
              <w:t xml:space="preserve">CC BY-NC-SA (paper), CC BY 4.0 (website)</w:t>
            </w:r>
          </w:p>
        </w:tc>
        <w:tc>
          <w:tcPr/>
          <w:p>
            <w:pPr>
              <w:pStyle w:val="Compact"/>
              <w:jc w:val="left"/>
            </w:pPr>
            <w:r>
              <w:rPr>
                <w:sz w:val="18"/>
              </w:rPr>
              <w:t xml:space="preserve">SMI RED250, 250 Hz</w:t>
            </w:r>
          </w:p>
        </w:tc>
        <w:tc>
          <w:tcPr/>
          <w:p>
            <w:pPr>
              <w:pStyle w:val="Compact"/>
              <w:jc w:val="left"/>
            </w:pPr>
            <w:r>
              <w:rPr>
                <w:sz w:val="18"/>
              </w:rPr>
              <w:t xml:space="preserve">OSF</w:t>
            </w:r>
          </w:p>
        </w:tc>
        <w:tc>
          <w:tcPr/>
          <w:p>
            <w:pPr>
              <w:pStyle w:val="Compact"/>
              <w:jc w:val="left"/>
            </w:pPr>
            <w:r>
              <w:rPr>
                <w:sz w:val="18"/>
              </w:rPr>
              <w:t xml:space="preserve">Primary candidate</w:t>
            </w:r>
          </w:p>
        </w:tc>
      </w:tr>
      <w:tr>
        <w:tc>
          <w:tcPr/>
          <w:p>
            <w:pPr>
              <w:pStyle w:val="Compact"/>
              <w:jc w:val="left"/>
            </w:pPr>
            <w:r>
              <w:rPr>
                <w:sz w:val="18"/>
              </w:rPr>
              <w:t xml:space="preserve">Corrected EMIP [2]</w:t>
            </w:r>
          </w:p>
        </w:tc>
        <w:tc>
          <w:tcPr/>
          <w:p>
            <w:pPr>
              <w:pStyle w:val="Compact"/>
              <w:jc w:val="left"/>
            </w:pPr>
            <w:r>
              <w:rPr>
                <w:sz w:val="18"/>
              </w:rPr>
              <w:t xml:space="preserve">n/r</w:t>
            </w:r>
          </w:p>
        </w:tc>
        <w:tc>
          <w:tcPr/>
          <w:p>
            <w:pPr>
              <w:pStyle w:val="Compact"/>
              <w:jc w:val="left"/>
            </w:pPr>
            <w:r>
              <w:rPr>
                <w:sz w:val="18"/>
              </w:rPr>
              <w:t xml:space="preserve">SMI RED250, 250 Hz</w:t>
            </w:r>
          </w:p>
        </w:tc>
        <w:tc>
          <w:tcPr/>
          <w:p>
            <w:pPr>
              <w:pStyle w:val="Compact"/>
              <w:jc w:val="left"/>
            </w:pPr>
            <w:r>
              <w:rPr>
                <w:sz w:val="18"/>
              </w:rPr>
              <w:t xml:space="preserve">GitHub, OSF</w:t>
            </w:r>
          </w:p>
        </w:tc>
        <w:tc>
          <w:tcPr/>
          <w:p>
            <w:pPr>
              <w:pStyle w:val="Compact"/>
              <w:jc w:val="left"/>
            </w:pPr>
            <w:r>
              <w:rPr>
                <w:sz w:val="18"/>
              </w:rPr>
              <w:t xml:space="preserve">Primary candidate</w:t>
            </w:r>
          </w:p>
        </w:tc>
      </w:tr>
      <w:tr>
        <w:tc>
          <w:tcPr/>
          <w:p>
            <w:pPr>
              <w:pStyle w:val="Compact"/>
              <w:jc w:val="left"/>
            </w:pPr>
            <w:r>
              <w:rPr>
                <w:sz w:val="18"/>
              </w:rPr>
              <w:t xml:space="preserve">Peitek et al. [3]</w:t>
            </w:r>
          </w:p>
        </w:tc>
        <w:tc>
          <w:tcPr/>
          <w:p>
            <w:pPr>
              <w:pStyle w:val="Compact"/>
              <w:jc w:val="left"/>
            </w:pPr>
            <w:r>
              <w:rPr>
                <w:sz w:val="18"/>
              </w:rPr>
              <w:t xml:space="preserve">CC BY-SA 4.0</w:t>
            </w:r>
          </w:p>
        </w:tc>
        <w:tc>
          <w:tcPr/>
          <w:p>
            <w:pPr>
              <w:pStyle w:val="Compact"/>
              <w:jc w:val="left"/>
            </w:pPr>
            <w:r>
              <w:rPr>
                <w:sz w:val="18"/>
              </w:rPr>
              <w:t xml:space="preserve">Tobii EyeX, 60 Hz</w:t>
            </w:r>
          </w:p>
        </w:tc>
        <w:tc>
          <w:tcPr/>
          <w:p>
            <w:pPr>
              <w:pStyle w:val="Compact"/>
              <w:jc w:val="left"/>
            </w:pPr>
            <w:r>
              <w:rPr>
                <w:sz w:val="18"/>
              </w:rPr>
              <w:t xml:space="preserve">GitHub</w:t>
            </w:r>
          </w:p>
        </w:tc>
        <w:tc>
          <w:tcPr/>
          <w:p>
            <w:pPr>
              <w:pStyle w:val="Compact"/>
              <w:jc w:val="left"/>
            </w:pPr>
            <w:r>
              <w:rPr>
                <w:sz w:val="18"/>
              </w:rPr>
              <w:t xml:space="preserve">Candidate</w:t>
            </w:r>
          </w:p>
        </w:tc>
      </w:tr>
      <w:tr>
        <w:tc>
          <w:tcPr/>
          <w:p>
            <w:pPr>
              <w:pStyle w:val="Compact"/>
              <w:jc w:val="left"/>
            </w:pPr>
            <w:r>
              <w:rPr>
                <w:sz w:val="18"/>
              </w:rPr>
              <w:t xml:space="preserve">Busjahn et al. [4], [5]</w:t>
            </w:r>
          </w:p>
        </w:tc>
        <w:tc>
          <w:tcPr/>
          <w:p>
            <w:pPr>
              <w:pStyle w:val="Compact"/>
              <w:jc w:val="left"/>
            </w:pPr>
            <w:r>
              <w:rPr>
                <w:sz w:val="18"/>
              </w:rPr>
              <w:t xml:space="preserve">n/r</w:t>
            </w:r>
          </w:p>
        </w:tc>
        <w:tc>
          <w:tcPr/>
          <w:p>
            <w:pPr>
              <w:pStyle w:val="Compact"/>
              <w:jc w:val="left"/>
            </w:pPr>
            <w:r>
              <w:rPr>
                <w:sz w:val="18"/>
              </w:rPr>
              <w:t xml:space="preserve">SMI RED-m, 120 Hz</w:t>
            </w:r>
          </w:p>
        </w:tc>
        <w:tc>
          <w:tcPr/>
          <w:p>
            <w:pPr>
              <w:pStyle w:val="Compact"/>
              <w:jc w:val="left"/>
            </w:pPr>
            <w:r>
              <w:rPr>
                <w:sz w:val="18"/>
              </w:rPr>
              <w:t xml:space="preserve">OSF</w:t>
            </w:r>
          </w:p>
        </w:tc>
        <w:tc>
          <w:tcPr/>
          <w:p>
            <w:pPr>
              <w:pStyle w:val="Compact"/>
              <w:jc w:val="left"/>
            </w:pPr>
            <w:r>
              <w:rPr>
                <w:sz w:val="18"/>
              </w:rPr>
              <w:t xml:space="preserve">Candidate, to be verified</w:t>
            </w:r>
          </w:p>
        </w:tc>
      </w:tr>
      <w:tr>
        <w:tc>
          <w:tcPr/>
          <w:p>
            <w:pPr>
              <w:pStyle w:val="Compact"/>
              <w:jc w:val="left"/>
            </w:pPr>
            <w:r>
              <w:rPr>
                <w:sz w:val="18"/>
              </w:rPr>
              <w:t xml:space="preserve">McChesney &amp; Bond [6]</w:t>
            </w:r>
          </w:p>
        </w:tc>
        <w:tc>
          <w:tcPr/>
          <w:p>
            <w:pPr>
              <w:pStyle w:val="Compact"/>
              <w:jc w:val="left"/>
            </w:pPr>
            <w:r>
              <w:rPr>
                <w:sz w:val="18"/>
              </w:rPr>
              <w:t xml:space="preserve">n/r</w:t>
            </w:r>
          </w:p>
        </w:tc>
        <w:tc>
          <w:tcPr/>
          <w:p>
            <w:pPr>
              <w:pStyle w:val="Compact"/>
              <w:jc w:val="left"/>
            </w:pPr>
            <w:r>
              <w:rPr>
                <w:sz w:val="18"/>
              </w:rPr>
              <w:t xml:space="preserve">Tobii, 120 Hz</w:t>
            </w:r>
          </w:p>
        </w:tc>
        <w:tc>
          <w:tcPr/>
          <w:p>
            <w:pPr>
              <w:pStyle w:val="Compact"/>
              <w:jc w:val="left"/>
            </w:pPr>
            <w:r>
              <w:rPr>
                <w:sz w:val="18"/>
              </w:rPr>
              <w:t xml:space="preserve">figshare</w:t>
            </w:r>
          </w:p>
        </w:tc>
        <w:tc>
          <w:tcPr/>
          <w:p>
            <w:pPr>
              <w:pStyle w:val="Compact"/>
              <w:jc w:val="left"/>
            </w:pPr>
            <w:r>
              <w:rPr>
                <w:sz w:val="18"/>
              </w:rPr>
              <w:t xml:space="preserve">Supporting: unbalanced labels</w:t>
            </w:r>
          </w:p>
        </w:tc>
      </w:tr>
      <w:tr>
        <w:tc>
          <w:tcPr/>
          <w:p>
            <w:pPr>
              <w:pStyle w:val="Compact"/>
              <w:jc w:val="left"/>
            </w:pPr>
            <w:r>
              <w:rPr>
                <w:sz w:val="18"/>
              </w:rPr>
              <w:t xml:space="preserve">Abid et al. [7]</w:t>
            </w:r>
          </w:p>
        </w:tc>
        <w:tc>
          <w:tcPr/>
          <w:p>
            <w:pPr>
              <w:pStyle w:val="Compact"/>
              <w:jc w:val="left"/>
            </w:pPr>
            <w:r>
              <w:rPr>
                <w:sz w:val="18"/>
              </w:rPr>
              <w:t xml:space="preserve">CC BY-ND 4.0</w:t>
            </w:r>
          </w:p>
        </w:tc>
        <w:tc>
          <w:tcPr/>
          <w:p>
            <w:pPr>
              <w:pStyle w:val="Compact"/>
              <w:jc w:val="left"/>
            </w:pPr>
            <w:r>
              <w:rPr>
                <w:sz w:val="18"/>
              </w:rPr>
              <w:t xml:space="preserve">Tobii X60, 60 Hz</w:t>
            </w:r>
          </w:p>
        </w:tc>
        <w:tc>
          <w:tcPr/>
          <w:p>
            <w:pPr>
              <w:pStyle w:val="Compact"/>
              <w:jc w:val="left"/>
            </w:pPr>
            <w:r>
              <w:rPr>
                <w:sz w:val="18"/>
              </w:rPr>
              <w:t xml:space="preserve">Zenodo</w:t>
            </w:r>
          </w:p>
        </w:tc>
        <w:tc>
          <w:tcPr/>
          <w:p>
            <w:pPr>
              <w:pStyle w:val="Compact"/>
              <w:jc w:val="left"/>
            </w:pPr>
            <w:r>
              <w:rPr>
                <w:sz w:val="18"/>
              </w:rPr>
              <w:t xml:space="preserve">Supporting: summarisation task</w:t>
            </w:r>
          </w:p>
        </w:tc>
      </w:tr>
      <w:tr>
        <w:tc>
          <w:tcPr/>
          <w:p>
            <w:pPr>
              <w:pStyle w:val="Compact"/>
              <w:jc w:val="left"/>
            </w:pPr>
            <w:r>
              <w:rPr>
                <w:sz w:val="18"/>
              </w:rPr>
              <w:t xml:space="preserve">Fang et al. [8]</w:t>
            </w:r>
          </w:p>
        </w:tc>
        <w:tc>
          <w:tcPr/>
          <w:p>
            <w:pPr>
              <w:pStyle w:val="Compact"/>
              <w:jc w:val="left"/>
            </w:pPr>
            <w:r>
              <w:rPr>
                <w:sz w:val="18"/>
              </w:rPr>
              <w:t xml:space="preserve">n/r</w:t>
            </w:r>
          </w:p>
        </w:tc>
        <w:tc>
          <w:tcPr/>
          <w:p>
            <w:pPr>
              <w:pStyle w:val="Compact"/>
              <w:jc w:val="left"/>
            </w:pPr>
            <w:r>
              <w:rPr>
                <w:sz w:val="18"/>
              </w:rPr>
              <w:t xml:space="preserve">Tobii Pro + WebGazer</w:t>
            </w:r>
          </w:p>
        </w:tc>
        <w:tc>
          <w:tcPr/>
          <w:p>
            <w:pPr>
              <w:pStyle w:val="Compact"/>
              <w:jc w:val="left"/>
            </w:pPr>
            <w:r>
              <w:rPr>
                <w:sz w:val="18"/>
              </w:rPr>
              <w:t xml:space="preserve">IEEE DataPort (subscription)</w:t>
            </w:r>
          </w:p>
        </w:tc>
        <w:tc>
          <w:tcPr/>
          <w:p>
            <w:pPr>
              <w:pStyle w:val="Compact"/>
              <w:jc w:val="left"/>
            </w:pPr>
            <w:r>
              <w:rPr>
                <w:sz w:val="18"/>
              </w:rPr>
              <w:t xml:space="preserve">Excluded: no labels; reference for webcam accuracy</w:t>
            </w:r>
          </w:p>
        </w:tc>
      </w:tr>
      <w:tr>
        <w:tc>
          <w:tcPr/>
          <w:p>
            <w:pPr>
              <w:pStyle w:val="Compact"/>
              <w:jc w:val="left"/>
            </w:pPr>
            <w:r>
              <w:rPr>
                <w:sz w:val="18"/>
              </w:rPr>
              <w:t xml:space="preserve">EyeTrans [9]</w:t>
            </w:r>
          </w:p>
        </w:tc>
        <w:tc>
          <w:tcPr/>
          <w:p>
            <w:pPr>
              <w:pStyle w:val="Compact"/>
              <w:jc w:val="left"/>
            </w:pPr>
            <w:r>
              <w:rPr>
                <w:sz w:val="18"/>
              </w:rPr>
              <w:t xml:space="preserve">CC BY 4.0</w:t>
            </w:r>
          </w:p>
        </w:tc>
        <w:tc>
          <w:tcPr/>
          <w:p>
            <w:pPr>
              <w:pStyle w:val="Compact"/>
              <w:jc w:val="left"/>
            </w:pPr>
            <w:r>
              <w:rPr>
                <w:sz w:val="18"/>
              </w:rPr>
              <w:t xml:space="preserve">Tobii Pro Fusion, 60 Hz</w:t>
            </w:r>
          </w:p>
        </w:tc>
        <w:tc>
          <w:tcPr/>
          <w:p>
            <w:pPr>
              <w:pStyle w:val="Compact"/>
              <w:jc w:val="left"/>
            </w:pPr>
            <w:r>
              <w:rPr>
                <w:sz w:val="18"/>
              </w:rPr>
              <w:t xml:space="preserve">Zenodo</w:t>
            </w:r>
          </w:p>
        </w:tc>
        <w:tc>
          <w:tcPr/>
          <w:p>
            <w:pPr>
              <w:pStyle w:val="Compact"/>
              <w:jc w:val="left"/>
            </w:pPr>
            <w:r>
              <w:rPr>
                <w:sz w:val="18"/>
              </w:rPr>
              <w:t xml:space="preserve">Excluded: no labels, summarisation task</w:t>
            </w:r>
          </w:p>
        </w:tc>
      </w:tr>
      <w:tr>
        <w:tc>
          <w:tcPr/>
          <w:p>
            <w:pPr>
              <w:pStyle w:val="Compact"/>
              <w:jc w:val="left"/>
            </w:pPr>
            <w:r>
              <w:rPr>
                <w:sz w:val="18"/>
              </w:rPr>
              <w:t xml:space="preserve">Wallace et al. [10]</w:t>
            </w:r>
          </w:p>
        </w:tc>
        <w:tc>
          <w:tcPr/>
          <w:p>
            <w:pPr>
              <w:pStyle w:val="Compact"/>
              <w:jc w:val="left"/>
            </w:pPr>
            <w:r>
              <w:rPr>
                <w:sz w:val="18"/>
              </w:rPr>
              <w:t xml:space="preserve">n/r</w:t>
            </w:r>
          </w:p>
        </w:tc>
        <w:tc>
          <w:tcPr/>
          <w:p>
            <w:pPr>
              <w:pStyle w:val="Compact"/>
              <w:jc w:val="left"/>
            </w:pPr>
            <w:r>
              <w:rPr>
                <w:sz w:val="18"/>
              </w:rPr>
              <w:t xml:space="preserve">Tobii Pro Fusion, 120 Hz</w:t>
            </w:r>
          </w:p>
        </w:tc>
        <w:tc>
          <w:tcPr/>
          <w:p>
            <w:pPr>
              <w:pStyle w:val="Compact"/>
              <w:jc w:val="left"/>
            </w:pPr>
            <w:r>
              <w:rPr>
                <w:sz w:val="18"/>
              </w:rPr>
              <w:t xml:space="preserve">Zenodo</w:t>
            </w:r>
          </w:p>
        </w:tc>
        <w:tc>
          <w:tcPr/>
          <w:p>
            <w:pPr>
              <w:pStyle w:val="Compact"/>
              <w:jc w:val="left"/>
            </w:pPr>
            <w:r>
              <w:rPr>
                <w:sz w:val="18"/>
              </w:rPr>
              <w:t xml:space="preserve">Excluded: no labels, summarisation task</w:t>
            </w:r>
          </w:p>
        </w:tc>
      </w:tr>
      <w:tr>
        <w:tc>
          <w:tcPr/>
          <w:p>
            <w:pPr>
              <w:pStyle w:val="Compact"/>
              <w:jc w:val="left"/>
            </w:pPr>
            <w:r>
              <w:rPr>
                <w:sz w:val="18"/>
              </w:rPr>
              <w:t xml:space="preserve">Al Madi &amp; Khan [11]</w:t>
            </w:r>
          </w:p>
        </w:tc>
        <w:tc>
          <w:tcPr/>
          <w:p>
            <w:pPr>
              <w:pStyle w:val="Compact"/>
              <w:jc w:val="left"/>
            </w:pPr>
            <w:r>
              <w:rPr>
                <w:sz w:val="18"/>
              </w:rPr>
              <w:t xml:space="preserve">n/r</w:t>
            </w:r>
          </w:p>
        </w:tc>
        <w:tc>
          <w:tcPr/>
          <w:p>
            <w:pPr>
              <w:pStyle w:val="Compact"/>
              <w:jc w:val="left"/>
            </w:pPr>
            <w:r>
              <w:rPr>
                <w:sz w:val="18"/>
              </w:rPr>
              <w:t xml:space="preserve">EyeLink 1000</w:t>
            </w:r>
          </w:p>
        </w:tc>
        <w:tc>
          <w:tcPr/>
          <w:p>
            <w:pPr>
              <w:pStyle w:val="Compact"/>
              <w:jc w:val="left"/>
            </w:pPr>
            <w:r>
              <w:rPr>
                <w:sz w:val="18"/>
              </w:rPr>
              <w:t xml:space="preserve">GitHub</w:t>
            </w:r>
          </w:p>
        </w:tc>
        <w:tc>
          <w:tcPr/>
          <w:p>
            <w:pPr>
              <w:pStyle w:val="Compact"/>
              <w:jc w:val="left"/>
            </w:pPr>
            <w:r>
              <w:rPr>
                <w:sz w:val="18"/>
              </w:rPr>
              <w:t xml:space="preserve">Excluded: not code reading</w:t>
            </w:r>
          </w:p>
        </w:tc>
      </w:tr>
    </w:tbl>
    <w:bookmarkEnd w:id="21"/>
    <w:bookmarkStart w:id="22" w:name="findings"/>
    <w:p>
      <w:pPr>
        <w:pStyle w:val="Heading3"/>
      </w:pPr>
      <w:r>
        <w:t xml:space="preserve">Findings</w:t>
      </w:r>
    </w:p>
    <w:p>
      <w:pPr>
        <w:numPr>
          <w:ilvl w:val="0"/>
          <w:numId w:val="1002"/>
        </w:numPr>
        <w:pStyle w:val="Compact"/>
      </w:pPr>
      <w:r>
        <w:rPr>
          <w:bCs/>
          <w:b/>
        </w:rPr>
        <w:t xml:space="preserve">Language.</w:t>
      </w:r>
      <w:r>
        <w:t xml:space="preserve"> </w:t>
      </w:r>
      <w:r>
        <w:t xml:space="preserve">All candidate datasets use Java, so DECODE’s first model is for Java.</w:t>
      </w:r>
    </w:p>
    <w:p>
      <w:pPr>
        <w:numPr>
          <w:ilvl w:val="0"/>
          <w:numId w:val="1002"/>
        </w:numPr>
        <w:pStyle w:val="Compact"/>
      </w:pPr>
      <w:r>
        <w:rPr>
          <w:bCs/>
          <w:b/>
        </w:rPr>
        <w:t xml:space="preserve">Primary dataset.</w:t>
      </w:r>
      <w:r>
        <w:t xml:space="preserve"> </w:t>
      </w:r>
      <w:r>
        <w:t xml:space="preserve">EMIP [1] is the largest dataset that meets all three criteria: 216 participants read the same two Java programs, Rectangle and Vehicle, on the same eye tracker.</w:t>
      </w:r>
    </w:p>
    <w:p>
      <w:pPr>
        <w:numPr>
          <w:ilvl w:val="0"/>
          <w:numId w:val="1002"/>
        </w:numPr>
        <w:pStyle w:val="Compact"/>
      </w:pPr>
      <w:r>
        <w:rPr>
          <w:bCs/>
          <w:b/>
        </w:rPr>
        <w:t xml:space="preserve">Shared code.</w:t>
      </w:r>
      <w:r>
        <w:t xml:space="preserve"> </w:t>
      </w:r>
      <w:r>
        <w:t xml:space="preserve">Peitek et al. [3] use the same Rectangle and Vehicle classes as EMIP, and most of their programs come from Busjahn et al. [4]. These datasets can therefore be merged on the same code.</w:t>
      </w:r>
    </w:p>
    <w:p>
      <w:pPr>
        <w:numPr>
          <w:ilvl w:val="0"/>
          <w:numId w:val="1002"/>
        </w:numPr>
        <w:pStyle w:val="Compact"/>
      </w:pPr>
      <w:r>
        <w:rPr>
          <w:bCs/>
          <w:b/>
        </w:rPr>
        <w:t xml:space="preserve">Layout differs.</w:t>
      </w:r>
      <w:r>
        <w:t xml:space="preserve"> </w:t>
      </w:r>
      <w:r>
        <w:t xml:space="preserve">The same code is laid out differently in each dataset: in EMIP, short methods are written on one line. Line-level areas of interest (AOIs) do not match across datasets, but method or block AOIs do. Peitek et al. already define block AOIs, and the token and line AOIs of EMIP and McChesney &amp; Bond can be grouped into blocks. This supports block-level AOIs, which also suit webcam gaze: Fang et al. found that webcam data captures patterns at the semantic level but struggles at the token level [8].</w:t>
      </w:r>
    </w:p>
    <w:p>
      <w:pPr>
        <w:numPr>
          <w:ilvl w:val="0"/>
          <w:numId w:val="1002"/>
        </w:numPr>
        <w:pStyle w:val="Compact"/>
      </w:pPr>
      <w:r>
        <w:rPr>
          <w:bCs/>
          <w:b/>
        </w:rPr>
        <w:t xml:space="preserve">Eye trackers differ.</w:t>
      </w:r>
      <w:r>
        <w:t xml:space="preserve"> </w:t>
      </w:r>
      <w:r>
        <w:t xml:space="preserve">The datasets use eye trackers at 60, 120 and 250 Hz, so fixations will be computed again from raw gaze with one I-DT setting for all datasets.</w:t>
      </w:r>
    </w:p>
    <w:p>
      <w:pPr>
        <w:numPr>
          <w:ilvl w:val="0"/>
          <w:numId w:val="1002"/>
        </w:numPr>
        <w:pStyle w:val="Compact"/>
      </w:pPr>
      <w:r>
        <w:rPr>
          <w:bCs/>
          <w:b/>
        </w:rPr>
        <w:t xml:space="preserve">Experience groups.</w:t>
      </w:r>
      <w:r>
        <w:t xml:space="preserve"> </w:t>
      </w:r>
      <w:r>
        <w:t xml:space="preserve">Peitek et al. and Busjahn et al. provide novice and experienced groups, and we use them as given. EMIP has no such labels, so we will build the groups from its questionnaire in one of two ways: the 17 participants who rated their expertise</w:t>
      </w:r>
      <w:r>
        <w:t xml:space="preserve"> </w:t>
      </w:r>
      <w:r>
        <w:t xml:space="preserve">“</w:t>
      </w:r>
      <w:r>
        <w:t xml:space="preserve">high</w:t>
      </w:r>
      <w:r>
        <w:t xml:space="preserve">”</w:t>
      </w:r>
      <w:r>
        <w:t xml:space="preserve"> </w:t>
      </w:r>
      <w:r>
        <w:t xml:space="preserve">and 17 randomly selected others, or participants with four or more years of programming and those with less, as in Aljehane et al. [12].</w:t>
      </w:r>
    </w:p>
    <w:p>
      <w:pPr>
        <w:numPr>
          <w:ilvl w:val="0"/>
          <w:numId w:val="1002"/>
        </w:numPr>
        <w:pStyle w:val="Compact"/>
      </w:pPr>
      <w:r>
        <w:rPr>
          <w:bCs/>
          <w:b/>
        </w:rPr>
        <w:t xml:space="preserve">Licences.</w:t>
      </w:r>
      <w:r>
        <w:t xml:space="preserve"> </w:t>
      </w:r>
      <w:r>
        <w:t xml:space="preserve">Both EMIP licences are reported. Abid et al. [7] do not allow modified data to be redistributed, so we would only analyse it.</w:t>
      </w:r>
    </w:p>
    <w:bookmarkEnd w:id="22"/>
    <w:bookmarkStart w:id="23" w:name="references"/>
    <w:p>
      <w:pPr>
        <w:pStyle w:val="Heading3"/>
      </w:pPr>
      <w:r>
        <w:t xml:space="preserve">References</w:t>
      </w:r>
    </w:p>
    <w:p>
      <w:pPr>
        <w:pStyle w:val="FirstParagraph"/>
      </w:pPr>
      <w:r>
        <w:t xml:space="preserve">[1] Bednarik, R., et al. (2020). EMIP: The eye movements in programming dataset.</w:t>
      </w:r>
      <w:r>
        <w:t xml:space="preserve"> </w:t>
      </w:r>
      <w:r>
        <w:rPr>
          <w:iCs/>
          <w:i/>
        </w:rPr>
        <w:t xml:space="preserve">Science of Computer Programming, 198</w:t>
      </w:r>
      <w:r>
        <w:t xml:space="preserve">, 102520. https://www.emipws.org/dataset/</w:t>
      </w:r>
    </w:p>
    <w:p>
      <w:pPr>
        <w:pStyle w:val="BodyText"/>
      </w:pPr>
      <w:r>
        <w:t xml:space="preserve">[2] Al Madi, N., Guarnera, D. T., Sharif, B., &amp; Maletic, J. I. (2021). EMIP Toolkit: A Python library for customized post-processing of the eye movements in programming dataset. In</w:t>
      </w:r>
      <w:r>
        <w:t xml:space="preserve"> </w:t>
      </w:r>
      <w:r>
        <w:rPr>
          <w:iCs/>
          <w:i/>
        </w:rPr>
        <w:t xml:space="preserve">ACM Symposium on Eye Tracking Research and Applications (ETRA ’21)</w:t>
      </w:r>
      <w:r>
        <w:t xml:space="preserve">. https://doi.org/10.1145/3448018.3457425</w:t>
      </w:r>
    </w:p>
    <w:p>
      <w:pPr>
        <w:pStyle w:val="BodyText"/>
      </w:pPr>
      <w:r>
        <w:t xml:space="preserve">[3] Peitek, N., Siegmund, J., &amp; Apel, S. (2020). What drives the reading order of programmers? An eye tracking study. In</w:t>
      </w:r>
      <w:r>
        <w:t xml:space="preserve"> </w:t>
      </w:r>
      <w:r>
        <w:rPr>
          <w:iCs/>
          <w:i/>
        </w:rPr>
        <w:t xml:space="preserve">Proceedings of the 28th International Conference on Program Comprehension (ICPC ’20)</w:t>
      </w:r>
      <w:r>
        <w:t xml:space="preserve"> </w:t>
      </w:r>
      <w:r>
        <w:t xml:space="preserve">(pp. 342–353). https://doi.org/10.1145/3387904.3389279</w:t>
      </w:r>
    </w:p>
    <w:p>
      <w:pPr>
        <w:pStyle w:val="BodyText"/>
      </w:pPr>
      <w:r>
        <w:t xml:space="preserve">[4] Busjahn, T., et al. (2015). Eye movements in code reading: Relaxing the linear order. In</w:t>
      </w:r>
      <w:r>
        <w:t xml:space="preserve"> </w:t>
      </w:r>
      <w:r>
        <w:rPr>
          <w:iCs/>
          <w:i/>
        </w:rPr>
        <w:t xml:space="preserve">Proceedings of the 23rd International Conference on Program Comprehension (ICPC ’15)</w:t>
      </w:r>
      <w:r>
        <w:t xml:space="preserve">.</w:t>
      </w:r>
    </w:p>
    <w:p>
      <w:pPr>
        <w:pStyle w:val="BodyText"/>
      </w:pPr>
      <w:r>
        <w:t xml:space="preserve">[5] Al Madi, N., Peterson, C. S., Sharif, B., &amp; Maletic, J. I. (2021). From novice to expert: Analysis of token level effects in a longitudinal eye tracking study. In</w:t>
      </w:r>
      <w:r>
        <w:t xml:space="preserve"> </w:t>
      </w:r>
      <w:r>
        <w:rPr>
          <w:iCs/>
          <w:i/>
        </w:rPr>
        <w:t xml:space="preserve">Proceedings of the 29th International Conference on Program Comprehension (ICPC ’21)</w:t>
      </w:r>
      <w:r>
        <w:t xml:space="preserve">. Data: https://osf.io/t5je9/</w:t>
      </w:r>
    </w:p>
    <w:p>
      <w:pPr>
        <w:pStyle w:val="BodyText"/>
      </w:pPr>
      <w:r>
        <w:t xml:space="preserve">[6] McChesney, I., &amp; Bond, R. (2021). Eye tracking analysis of code layout, crowding and dyslexia: An open data set. In</w:t>
      </w:r>
      <w:r>
        <w:t xml:space="preserve"> </w:t>
      </w:r>
      <w:r>
        <w:rPr>
          <w:iCs/>
          <w:i/>
        </w:rPr>
        <w:t xml:space="preserve">ACM Symposium on Eye Tracking Research and Applications (ETRA ’21)</w:t>
      </w:r>
      <w:r>
        <w:t xml:space="preserve">. https://doi.org/10.1145/3448018.3457420</w:t>
      </w:r>
    </w:p>
    <w:p>
      <w:pPr>
        <w:pStyle w:val="BodyText"/>
      </w:pPr>
      <w:r>
        <w:t xml:space="preserve">[7] Abid, N. J., Sharif, B., Dragan, N., Alrasheed, H., &amp; Maletic, J. I. (2019). Developer reading behavior while summarizing Java methods: Size and context matters. In</w:t>
      </w:r>
      <w:r>
        <w:t xml:space="preserve"> </w:t>
      </w:r>
      <w:r>
        <w:rPr>
          <w:iCs/>
          <w:i/>
        </w:rPr>
        <w:t xml:space="preserve">Proceedings of the 41st International Conference on Software Engineering (ICSE ’19)</w:t>
      </w:r>
      <w:r>
        <w:t xml:space="preserve">. Data: https://doi.org/10.5281/zenodo.2550768</w:t>
      </w:r>
    </w:p>
    <w:p>
      <w:pPr>
        <w:pStyle w:val="BodyText"/>
      </w:pPr>
      <w:r>
        <w:t xml:space="preserve">[8] Fang, Z., et al. (2026). Investigating the feasibility of conducting webcam-based eye-tracking studies in code comprehension.</w:t>
      </w:r>
      <w:r>
        <w:t xml:space="preserve"> </w:t>
      </w:r>
      <w:r>
        <w:rPr>
          <w:iCs/>
          <w:i/>
        </w:rPr>
        <w:t xml:space="preserve">IEEE Transactions on Software Engineering</w:t>
      </w:r>
      <w:r>
        <w:t xml:space="preserve">. https://doi.org/10.1109/TSE.2026.3651615</w:t>
      </w:r>
    </w:p>
    <w:p>
      <w:pPr>
        <w:pStyle w:val="BodyText"/>
      </w:pPr>
      <w:r>
        <w:t xml:space="preserve">[9] Zhang, Y., et al. (2024). EyeTrans: Merging human and machine attention for neural code summarization.</w:t>
      </w:r>
      <w:r>
        <w:t xml:space="preserve"> </w:t>
      </w:r>
      <w:r>
        <w:rPr>
          <w:iCs/>
          <w:i/>
        </w:rPr>
        <w:t xml:space="preserve">Proceedings of the ACM on Software Engineering, 1</w:t>
      </w:r>
      <w:r>
        <w:t xml:space="preserve">(FSE), Article 6. Data: https://doi.org/10.5281/zenodo.10684985</w:t>
      </w:r>
    </w:p>
    <w:p>
      <w:pPr>
        <w:pStyle w:val="BodyText"/>
      </w:pPr>
      <w:r>
        <w:t xml:space="preserve">[10] Wallace, R., et al. (n.d.).</w:t>
      </w:r>
      <w:r>
        <w:t xml:space="preserve"> </w:t>
      </w:r>
      <w:r>
        <w:rPr>
          <w:iCs/>
          <w:i/>
        </w:rPr>
        <w:t xml:space="preserve">Programmer visual attention during context-aware code summarization</w:t>
      </w:r>
      <w:r>
        <w:t xml:space="preserve"> </w:t>
      </w:r>
      <w:r>
        <w:t xml:space="preserve">[Preprint]. arXiv. https://arxiv.org/abs/2405.18573. Data: https://zenodo.org/records/14873017</w:t>
      </w:r>
    </w:p>
    <w:p>
      <w:pPr>
        <w:pStyle w:val="BodyText"/>
      </w:pPr>
      <w:r>
        <w:t xml:space="preserve">[11] Al Madi, N., &amp; Khan, J. (2018). Constructing semantic networks of comprehension from eye-movement during reading. In</w:t>
      </w:r>
      <w:r>
        <w:t xml:space="preserve"> </w:t>
      </w:r>
      <w:r>
        <w:rPr>
          <w:iCs/>
          <w:i/>
        </w:rPr>
        <w:t xml:space="preserve">2018 IEEE 12th International Conference on Semantic Computing (ICSC)</w:t>
      </w:r>
      <w:r>
        <w:t xml:space="preserve">.</w:t>
      </w:r>
    </w:p>
    <w:p>
      <w:pPr>
        <w:pStyle w:val="BodyText"/>
      </w:pPr>
      <w:r>
        <w:t xml:space="preserve">[12] Aljehane, S. D., Sharif, B., &amp; Maletic, J. I. (2023). Studying developer eye movements to measure cognitive workload and visual effort for expertise assessment.</w:t>
      </w:r>
      <w:r>
        <w:t xml:space="preserve"> </w:t>
      </w:r>
      <w:r>
        <w:rPr>
          <w:iCs/>
          <w:i/>
        </w:rPr>
        <w:t xml:space="preserve">Proceedings of the ACM on Human-Computer Interaction, 7</w:t>
      </w:r>
      <w:r>
        <w:t xml:space="preserve">(ETRA), Article 166. https://doi.org/10.1145/3591135</w:t>
      </w:r>
    </w:p>
    <w:p>
      <w:pPr>
        <w:pStyle w:val="BodyText"/>
      </w:pPr>
      <w:r>
        <w:t xml:space="preserve">[13] Eraslan, S., Yesilada, Y., &amp; Harper, S. (2016). Scanpath trend analysis on web pages: Clustering eye tracking scanpaths.</w:t>
      </w:r>
      <w:r>
        <w:t xml:space="preserve"> </w:t>
      </w:r>
      <w:r>
        <w:rPr>
          <w:iCs/>
          <w:i/>
        </w:rPr>
        <w:t xml:space="preserve">ACM Transactions on the Web, 10</w:t>
      </w:r>
      <w:r>
        <w:t xml:space="preserve">(4), Article 20. https://doi.org/10.1145/2970818</w:t>
      </w:r>
    </w:p>
    <w:bookmarkEnd w:id="23"/>
    <w:bookmarkEnd w:id="2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2026-10-26T23:03:15Z</dcterms:created>
  <dcterms:modified xsi:type="dcterms:W3CDTF">2026-10-26T23:03:15Z</dcterms:modified>
</cp:coreProperties>
</file>

<file path=docProps/custom.xml><?xml version="1.0" encoding="utf-8"?>
<Properties xmlns="http://schemas.openxmlformats.org/officeDocument/2006/custom-properties" xmlns:vt="http://schemas.openxmlformats.org/officeDocument/2006/docPropsVTypes"/>
</file>