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00"/>
        <w:jc w:val="center"/>
      </w:pPr>
      <w:r>
        <w:t>Alphalens Backtrader Qlib</w:t>
        <w:br/>
        <w:t>三因子实战学习手册</w:t>
      </w:r>
    </w:p>
    <w:p>
      <w:pPr>
        <w:spacing w:before="360"/>
        <w:jc w:val="center"/>
      </w:pPr>
      <w:r>
        <w:rPr>
          <w:rFonts w:ascii="Aptos" w:hAnsi="Aptos" w:eastAsia="Microsoft YaHei"/>
          <w:color w:val="333333"/>
          <w:sz w:val="30"/>
        </w:rPr>
        <w:t>使用Tushare真实沪深300数据的完整学习路径</w:t>
      </w:r>
    </w:p>
    <w:p>
      <w:pPr>
        <w:spacing w:before="1600"/>
        <w:jc w:val="center"/>
      </w:pPr>
      <w:r>
        <w:rPr>
          <w:rFonts w:ascii="Aptos" w:hAnsi="Aptos" w:eastAsia="Microsoft YaHei"/>
          <w:color w:val="555555"/>
          <w:sz w:val="22"/>
        </w:rPr>
        <w:t>适合对象  GitHub和Python量化初学者</w:t>
        <w:br/>
        <w:t>数据区间  2021年1月到2025年12月</w:t>
        <w:br/>
        <w:t>文稿版本  2026年9月</w:t>
      </w:r>
    </w:p>
    <w:p>
      <w:pPr>
        <w:pStyle w:val="Heading1"/>
        <w:pageBreakBefore/>
      </w:pPr>
      <w:r>
        <w:rPr>
          <w:rFonts w:ascii="Aptos" w:hAnsi="Aptos" w:eastAsia="Microsoft YaHei"/>
          <w:b/>
          <w:color w:val="000000"/>
          <w:sz w:val="34"/>
        </w:rPr>
        <w:t>如何使用本手册</w:t>
      </w:r>
    </w:p>
    <w:p>
      <w:pPr>
        <w:pStyle w:val="BodyText"/>
      </w:pPr>
      <w:r>
        <w:rPr>
          <w:rFonts w:ascii="Aptos" w:hAnsi="Aptos" w:eastAsia="Microsoft YaHei"/>
          <w:sz w:val="20"/>
        </w:rPr>
        <w:t>本手册不是三个仓库README的翻译，而是一条可以实际运行的学习路线。同一份真实价格数据先进入Alphalens检查因子，再进入Backtrader验证交易规则，最后进入Qlib学习模型组合。三个阶段分别回答不同问题，不能互相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224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512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4320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回答的问题</w:t>
            </w:r>
          </w:p>
        </w:tc>
        <w:tc>
          <w:tcPr>
            <w:tcW w:type="dxa" w:w="2952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本项目入口</w:t>
            </w:r>
          </w:p>
        </w:tc>
      </w:tr>
      <w:tr>
        <w:tc>
          <w:tcPr>
            <w:tcW w:type="dxa" w:w="122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因子诊断</w:t>
            </w:r>
          </w:p>
        </w:tc>
        <w:tc>
          <w:tcPr>
            <w:tcW w:type="dxa" w:w="151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Alphalens</w:t>
            </w:r>
          </w:p>
        </w:tc>
        <w:tc>
          <w:tcPr>
            <w:tcW w:type="dxa" w:w="432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因子和未来收益是否存在统计关系</w:t>
            </w:r>
          </w:p>
        </w:tc>
        <w:tc>
          <w:tcPr>
            <w:tcW w:type="dxa" w:w="295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three_factors_analysis.py</w:t>
            </w:r>
          </w:p>
        </w:tc>
      </w:tr>
      <w:tr>
        <w:tc>
          <w:tcPr>
            <w:tcW w:type="dxa" w:w="122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策略回测</w:t>
            </w:r>
          </w:p>
        </w:tc>
        <w:tc>
          <w:tcPr>
            <w:tcW w:type="dxa" w:w="151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Backtrader</w:t>
            </w:r>
          </w:p>
        </w:tc>
        <w:tc>
          <w:tcPr>
            <w:tcW w:type="dxa" w:w="432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按因子调仓并考虑资金手续费后表现如何</w:t>
            </w:r>
          </w:p>
        </w:tc>
        <w:tc>
          <w:tcPr>
            <w:tcW w:type="dxa" w:w="295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three_factor_backtest.py</w:t>
            </w:r>
          </w:p>
        </w:tc>
      </w:tr>
      <w:tr>
        <w:tc>
          <w:tcPr>
            <w:tcW w:type="dxa" w:w="122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模型学习</w:t>
            </w:r>
          </w:p>
        </w:tc>
        <w:tc>
          <w:tcPr>
            <w:tcW w:type="dxa" w:w="151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Qlib</w:t>
            </w:r>
          </w:p>
        </w:tc>
        <w:tc>
          <w:tcPr>
            <w:tcW w:type="dxa" w:w="432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模型能否学习三个因子的非线性组合</w:t>
            </w:r>
          </w:p>
        </w:tc>
        <w:tc>
          <w:tcPr>
            <w:tcW w:type="dxa" w:w="295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three_factor_qlib.py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Aptos" w:hAnsi="Aptos" w:eastAsia="Microsoft YaHei"/>
          <w:sz w:val="20"/>
        </w:rPr>
        <w:t>推荐学习顺序：先完整运行一次，再按本手册的函数地图逐段阅读代码，最后只修改一个参数并观察结果变化。</w:t>
      </w:r>
    </w:p>
    <w:p>
      <w:pPr>
        <w:pStyle w:val="Heading1"/>
        <w:pageBreakBefore w:val="0"/>
      </w:pPr>
      <w:r>
        <w:rPr>
          <w:rFonts w:ascii="Aptos" w:hAnsi="Aptos" w:eastAsia="Microsoft YaHei"/>
          <w:b/>
          <w:color w:val="000000"/>
          <w:sz w:val="34"/>
        </w:rPr>
        <w:t>项目目录和Python环境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>计算金融/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 xml:space="preserve">  data/tushare_csi300/              # 真实行情和元数据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 xml:space="preserve">  labs/alphalens/                   # 因子分析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 xml:space="preserve">  labs/backtrader/                  # 组合回测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 xml:space="preserve">  labs/qlib/                        # 机器学习实验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 xml:space="preserve">  repositories/                     # 可选：本地克隆的官方源码，不上传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 xml:space="preserve">  output/                           # 所有运行结果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 xml:space="preserve">  quant_finance.code-workspace      # VS Code总工作区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5112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解释器</w:t>
            </w:r>
          </w:p>
        </w:tc>
        <w:tc>
          <w:tcPr>
            <w:tcW w:type="dxa" w:w="3168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主要包</w:t>
            </w:r>
          </w:p>
        </w:tc>
      </w:tr>
      <w:t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02 Alphalens</w:t>
            </w:r>
          </w:p>
        </w:tc>
        <w:tc>
          <w:tcPr>
            <w:tcW w:type="dxa" w:w="511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.venv-alphalens\Scripts\python.exe</w:t>
            </w:r>
          </w:p>
        </w:tc>
        <w:tc>
          <w:tcPr>
            <w:tcW w:type="dxa" w:w="316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alphalens pandas matplotlib PyQt5 tushare</w:t>
            </w:r>
          </w:p>
        </w:tc>
      </w:tr>
      <w:t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01 Backtrader</w:t>
            </w:r>
          </w:p>
        </w:tc>
        <w:tc>
          <w:tcPr>
            <w:tcW w:type="dxa" w:w="511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.venv-backtrader\Scripts\python.exe</w:t>
            </w:r>
          </w:p>
        </w:tc>
        <w:tc>
          <w:tcPr>
            <w:tcW w:type="dxa" w:w="316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backtrader pandas numpy matplotlib PyQt5</w:t>
            </w:r>
          </w:p>
        </w:tc>
      </w:tr>
      <w:t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03 Qlib</w:t>
            </w:r>
          </w:p>
        </w:tc>
        <w:tc>
          <w:tcPr>
            <w:tcW w:type="dxa" w:w="511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.venv-qlib\Scripts\python.exe</w:t>
            </w:r>
          </w:p>
        </w:tc>
        <w:tc>
          <w:tcPr>
            <w:tcW w:type="dxa" w:w="316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pyqlib lightgbm pandas sklearn matplotlib PyQt5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ptos" w:hAnsi="Aptos" w:eastAsia="Microsoft YaHei"/>
          <w:b/>
          <w:color w:val="000000"/>
          <w:sz w:val="34"/>
        </w:rPr>
        <w:t>真实数据和三个因子</w:t>
      </w:r>
    </w:p>
    <w:p>
      <w:pPr>
        <w:pStyle w:val="Heading2"/>
        <w:pageBreakBefore w:val="0"/>
      </w:pPr>
      <w:r>
        <w:rPr>
          <w:rFonts w:ascii="Aptos" w:hAnsi="Aptos" w:eastAsia="Microsoft YaHei"/>
          <w:b/>
          <w:color w:val="000000"/>
          <w:sz w:val="28"/>
        </w:rPr>
        <w:t>数据表结构</w:t>
      </w:r>
    </w:p>
    <w:p>
      <w:pPr>
        <w:pStyle w:val="BodyText"/>
      </w:pPr>
      <w:r>
        <w:rPr>
          <w:rFonts w:ascii="Aptos" w:hAnsi="Aptos" w:eastAsia="Microsoft YaHei"/>
          <w:sz w:val="20"/>
        </w:rPr>
        <w:t>核心输入文件是 data/tushare_csi300/csi300_qfq_close_2021_2025.csv。每一行是交易日，每一列是股票代码，单元格是Tushare前复权收盘价。本次下载得到1212个交易日和300只股票，整体价格缺失率为2.55%。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960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104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944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是否直接参与计算</w:t>
            </w:r>
          </w:p>
        </w:tc>
      </w:tr>
      <w:tr>
        <w:tc>
          <w:tcPr>
            <w:tcW w:type="dxa" w:w="396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csi300_qfq_close_2021_2025.csv</w:t>
            </w:r>
          </w:p>
        </w:tc>
        <w:tc>
          <w:tcPr>
            <w:tcW w:type="dxa" w:w="410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真实前复权收盘价宽表</w:t>
            </w:r>
          </w:p>
        </w:tc>
        <w:tc>
          <w:tcPr>
            <w:tcW w:type="dxa" w:w="194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是</w:t>
            </w:r>
          </w:p>
        </w:tc>
      </w:tr>
      <w:tr>
        <w:tc>
          <w:tcPr>
            <w:tcW w:type="dxa" w:w="396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csi300_constituent_weights_202512.csv</w:t>
            </w:r>
          </w:p>
        </w:tc>
        <w:tc>
          <w:tcPr>
            <w:tcW w:type="dxa" w:w="410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2025年末沪深300股票池和权重</w:t>
            </w:r>
          </w:p>
        </w:tc>
        <w:tc>
          <w:tcPr>
            <w:tcW w:type="dxa" w:w="194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用于确定股票池</w:t>
            </w:r>
          </w:p>
        </w:tc>
      </w:tr>
      <w:tr>
        <w:tc>
          <w:tcPr>
            <w:tcW w:type="dxa" w:w="396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data_quality.csv</w:t>
            </w:r>
          </w:p>
        </w:tc>
        <w:tc>
          <w:tcPr>
            <w:tcW w:type="dxa" w:w="410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逐只股票的日期范围和下载状态</w:t>
            </w:r>
          </w:p>
        </w:tc>
        <w:tc>
          <w:tcPr>
            <w:tcW w:type="dxa" w:w="194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检查用</w:t>
            </w:r>
          </w:p>
        </w:tc>
      </w:tr>
      <w:tr>
        <w:tc>
          <w:tcPr>
            <w:tcW w:type="dxa" w:w="396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metadata.json</w:t>
            </w:r>
          </w:p>
        </w:tc>
        <w:tc>
          <w:tcPr>
            <w:tcW w:type="dxa" w:w="410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接口、日期、复权和限制说明</w:t>
            </w:r>
          </w:p>
        </w:tc>
        <w:tc>
          <w:tcPr>
            <w:tcW w:type="dxa" w:w="194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说明用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Aptos" w:hAnsi="Aptos" w:eastAsia="Microsoft YaHei"/>
          <w:sz w:val="20"/>
        </w:rPr>
        <w:t>前复权口径说明：Tushare的pro_bar使用查询end_date作为动态前复权基准。本项目研究区间截至2025年12月31日，因此历史绝对价格可能与同花顺当前前复权价不同。三个因子使用价格比率和收益率，统一缩放不会改变因子值。</w:t>
      </w:r>
    </w:p>
    <w:p>
      <w:pPr>
        <w:pStyle w:val="Heading2"/>
        <w:pageBreakBefore w:val="0"/>
      </w:pPr>
      <w:r>
        <w:rPr>
          <w:rFonts w:ascii="Aptos" w:hAnsi="Aptos" w:eastAsia="Microsoft YaHei"/>
          <w:b/>
          <w:color w:val="000000"/>
          <w:sz w:val="28"/>
        </w:rPr>
        <w:t>因子一 20日动量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26971" cy="411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mentum_formul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6971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Microsoft YaHei"/>
          <w:color w:val="555555"/>
          <w:sz w:val="18"/>
        </w:rPr>
        <w:t>P表示前复权收盘价，因子越高表示过去20日涨幅越大</w:t>
      </w:r>
    </w:p>
    <w:p>
      <w:pPr>
        <w:pStyle w:val="BodyText"/>
      </w:pPr>
      <w:r>
        <w:rPr>
          <w:rFonts w:ascii="Aptos" w:hAnsi="Aptos" w:eastAsia="Microsoft YaHei"/>
          <w:sz w:val="20"/>
        </w:rPr>
        <w:t>直觉是价格趋势可能在短期延续。代码用 prices / prices.shift(20) - 1 计算。</w:t>
      </w:r>
    </w:p>
    <w:p>
      <w:pPr>
        <w:pStyle w:val="Heading2"/>
        <w:pageBreakBefore w:val="0"/>
      </w:pPr>
      <w:r>
        <w:rPr>
          <w:rFonts w:ascii="Aptos" w:hAnsi="Aptos" w:eastAsia="Microsoft YaHei"/>
          <w:b/>
          <w:color w:val="000000"/>
          <w:sz w:val="28"/>
        </w:rPr>
        <w:t>因子二 5日反转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26971" cy="411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rsal_formul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6971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Microsoft YaHei"/>
          <w:color w:val="555555"/>
          <w:sz w:val="18"/>
        </w:rPr>
        <w:t>过去5日收益前加负号，近期跌得越多，因子越高</w:t>
      </w:r>
    </w:p>
    <w:p>
      <w:pPr>
        <w:pStyle w:val="BodyText"/>
      </w:pPr>
      <w:r>
        <w:rPr>
          <w:rFonts w:ascii="Aptos" w:hAnsi="Aptos" w:eastAsia="Microsoft YaHei"/>
          <w:sz w:val="20"/>
        </w:rPr>
        <w:t>直觉是短期过度上涨或下跌可能回归。负号把因子方向统一为数值越高越好。</w:t>
      </w:r>
    </w:p>
    <w:p>
      <w:pPr>
        <w:pStyle w:val="Heading2"/>
        <w:pageBreakBefore w:val="0"/>
      </w:pPr>
      <w:r>
        <w:rPr>
          <w:rFonts w:ascii="Aptos" w:hAnsi="Aptos" w:eastAsia="Microsoft YaHei"/>
          <w:b/>
          <w:color w:val="000000"/>
          <w:sz w:val="28"/>
        </w:rPr>
        <w:t>因子三 20日低波动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26971" cy="411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_volatility_formul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6971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Microsoft YaHei"/>
          <w:color w:val="555555"/>
          <w:sz w:val="18"/>
        </w:rPr>
        <w:t>r表示日收益率；代码计算20日滚动标准差且不自动填充缺失价</w:t>
      </w:r>
    </w:p>
    <w:p>
      <w:pPr>
        <w:pStyle w:val="Heading1"/>
        <w:pageBreakBefore/>
      </w:pPr>
      <w:r>
        <w:rPr>
          <w:rFonts w:ascii="Aptos" w:hAnsi="Aptos" w:eastAsia="Microsoft YaHei"/>
          <w:b/>
          <w:color w:val="000000"/>
          <w:sz w:val="34"/>
        </w:rPr>
        <w:t>Alphalens 因子有效性分析</w:t>
      </w:r>
    </w:p>
    <w:p>
      <w:pPr>
        <w:pStyle w:val="Heading2"/>
        <w:pageBreakBefore w:val="0"/>
      </w:pPr>
      <w:r>
        <w:rPr>
          <w:rFonts w:ascii="Aptos" w:hAnsi="Aptos" w:eastAsia="Microsoft YaHei"/>
          <w:b/>
          <w:color w:val="000000"/>
          <w:sz w:val="28"/>
        </w:rPr>
        <w:t>它在流程中的位置</w:t>
      </w:r>
    </w:p>
    <w:p>
      <w:pPr>
        <w:pStyle w:val="BodyText"/>
      </w:pPr>
      <w:r>
        <w:rPr>
          <w:rFonts w:ascii="Aptos" w:hAnsi="Aptos" w:eastAsia="Microsoft YaHei"/>
          <w:sz w:val="20"/>
        </w:rPr>
        <w:t>Alphalens不负责下单，也不负责训练机器学习模型。它把每天每只股票的因子值与未来1日、5日收益对齐，再计算Rank IC和分组收益。首先看统计关系，再决定是否值得进入策略回测。</w:t>
      </w:r>
    </w:p>
    <w:p>
      <w:pPr>
        <w:pStyle w:val="Heading2"/>
        <w:pageBreakBefore w:val="0"/>
      </w:pPr>
      <w:r>
        <w:rPr>
          <w:rFonts w:ascii="Aptos" w:hAnsi="Aptos" w:eastAsia="Microsoft YaHei"/>
          <w:b/>
          <w:color w:val="000000"/>
          <w:sz w:val="28"/>
        </w:rPr>
        <w:t>主要函数地图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880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2376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4752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输出和作用</w:t>
            </w:r>
          </w:p>
        </w:tc>
      </w:tr>
      <w:tr>
        <w:tc>
          <w:tcPr>
            <w:tcW w:type="dxa" w:w="28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load_real_prices</w:t>
            </w:r>
          </w:p>
        </w:tc>
        <w:tc>
          <w:tcPr>
            <w:tcW w:type="dxa" w:w="23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真实CSV路径</w:t>
            </w:r>
          </w:p>
        </w:tc>
        <w:tc>
          <w:tcPr>
            <w:tcW w:type="dxa" w:w="475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只读取真实价格；文件缺失时立即报错</w:t>
            </w:r>
          </w:p>
        </w:tc>
      </w:tr>
      <w:tr>
        <w:tc>
          <w:tcPr>
            <w:tcW w:type="dxa" w:w="28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validate_prices</w:t>
            </w:r>
          </w:p>
        </w:tc>
        <w:tc>
          <w:tcPr>
            <w:tcW w:type="dxa" w:w="23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价格宽表</w:t>
            </w:r>
          </w:p>
        </w:tc>
        <w:tc>
          <w:tcPr>
            <w:tcW w:type="dxa" w:w="475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检查日期、重复项、非法价格和缺失率</w:t>
            </w:r>
          </w:p>
        </w:tc>
      </w:tr>
      <w:tr>
        <w:tc>
          <w:tcPr>
            <w:tcW w:type="dxa" w:w="28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calculate_factors</w:t>
            </w:r>
          </w:p>
        </w:tc>
        <w:tc>
          <w:tcPr>
            <w:tcW w:type="dxa" w:w="23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价格宽表</w:t>
            </w:r>
          </w:p>
        </w:tc>
        <w:tc>
          <w:tcPr>
            <w:tcW w:type="dxa" w:w="475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返回三个日期乘股票的因子宽表</w:t>
            </w:r>
          </w:p>
        </w:tc>
      </w:tr>
      <w:tr>
        <w:tc>
          <w:tcPr>
            <w:tcW w:type="dxa" w:w="28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wide_factor_to_series</w:t>
            </w:r>
          </w:p>
        </w:tc>
        <w:tc>
          <w:tcPr>
            <w:tcW w:type="dxa" w:w="23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单个因子宽表</w:t>
            </w:r>
          </w:p>
        </w:tc>
        <w:tc>
          <w:tcPr>
            <w:tcW w:type="dxa" w:w="475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转换为date和asset双层索引Series</w:t>
            </w:r>
          </w:p>
        </w:tc>
      </w:tr>
      <w:tr>
        <w:tc>
          <w:tcPr>
            <w:tcW w:type="dxa" w:w="28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analyze_factor</w:t>
            </w:r>
          </w:p>
        </w:tc>
        <w:tc>
          <w:tcPr>
            <w:tcW w:type="dxa" w:w="23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因子Series和价格</w:t>
            </w:r>
          </w:p>
        </w:tc>
        <w:tc>
          <w:tcPr>
            <w:tcW w:type="dxa" w:w="475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调用Alphalens清洗、未来收益、IC和分组收益</w:t>
            </w:r>
          </w:p>
        </w:tc>
      </w:tr>
      <w:tr>
        <w:tc>
          <w:tcPr>
            <w:tcW w:type="dxa" w:w="28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create_combined_chart</w:t>
            </w:r>
          </w:p>
        </w:tc>
        <w:tc>
          <w:tcPr>
            <w:tcW w:type="dxa" w:w="23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三个因子的结果</w:t>
            </w:r>
          </w:p>
        </w:tc>
        <w:tc>
          <w:tcPr>
            <w:tcW w:type="dxa" w:w="475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生成三行三列对比图</w:t>
            </w:r>
          </w:p>
        </w:tc>
      </w:tr>
      <w:tr>
        <w:tc>
          <w:tcPr>
            <w:tcW w:type="dxa" w:w="28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main</w:t>
            </w:r>
          </w:p>
        </w:tc>
        <w:tc>
          <w:tcPr>
            <w:tcW w:type="dxa" w:w="23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无</w:t>
            </w:r>
          </w:p>
        </w:tc>
        <w:tc>
          <w:tcPr>
            <w:tcW w:type="dxa" w:w="475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串联读取、计算、分析、保存和弹窗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rPr>
          <w:rFonts w:ascii="Aptos" w:hAnsi="Aptos" w:eastAsia="Microsoft YaHei"/>
          <w:b/>
          <w:color w:val="000000"/>
          <w:sz w:val="28"/>
        </w:rPr>
        <w:t>关键代码理解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>factor_data = al.utils.get_clean_factor_and_forward_returns(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 xml:space="preserve">    factor=factor, prices=prices, periods=(1, 5), quantiles=5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>)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>rank_ic = al.performance.factor_information_coefficient(factor_data)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>mean_returns, _ = al.performance.mean_return_by_quantile(factor_data)</w:t>
      </w:r>
    </w:p>
    <w:p>
      <w:pPr>
        <w:pStyle w:val="BodyText"/>
      </w:pPr>
      <w:r>
        <w:rPr>
          <w:rFonts w:ascii="Aptos" w:hAnsi="Aptos" w:eastAsia="Microsoft YaHei"/>
          <w:sz w:val="20"/>
        </w:rPr>
        <w:t>get_clean_factor_and_forward_returns是最核心的入口。它负责日期和股票对齐、计算未来收益、按每日横截面将因子分成五组。Rank IC是因子排名与未来收益排名的Spearman相关系数。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factors_diagno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Microsoft YaHei"/>
          <w:i/>
          <w:color w:val="555555"/>
          <w:sz w:val="18"/>
        </w:rPr>
        <w:t>图1 真实沪深300数据上的三个因子Alphalens诊断图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016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因子</w:t>
            </w:r>
          </w:p>
        </w:tc>
        <w:tc>
          <w:tcPr>
            <w:tcW w:type="dxa" w:w="2088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平均1日Rank IC</w:t>
            </w:r>
          </w:p>
        </w:tc>
        <w:tc>
          <w:tcPr>
            <w:tcW w:type="dxa" w:w="2088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平均5日Rank IC</w:t>
            </w:r>
          </w:p>
        </w:tc>
        <w:tc>
          <w:tcPr>
            <w:tcW w:type="dxa" w:w="3816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初步判断</w:t>
            </w:r>
          </w:p>
        </w:tc>
      </w:tr>
      <w:tr>
        <w:tc>
          <w:tcPr>
            <w:tcW w:type="dxa" w:w="201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20日动量</w:t>
            </w:r>
          </w:p>
        </w:tc>
        <w:tc>
          <w:tcPr>
            <w:tcW w:type="dxa" w:w="208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-0.0144</w:t>
            </w:r>
          </w:p>
        </w:tc>
        <w:tc>
          <w:tcPr>
            <w:tcW w:type="dxa" w:w="208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-0.0156</w:t>
            </w:r>
          </w:p>
        </w:tc>
        <w:tc>
          <w:tcPr>
            <w:tcW w:type="dxa" w:w="381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样本中方向偏弱且略为反向</w:t>
            </w:r>
          </w:p>
        </w:tc>
      </w:tr>
      <w:tr>
        <w:tc>
          <w:tcPr>
            <w:tcW w:type="dxa" w:w="201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5日反转</w:t>
            </w:r>
          </w:p>
        </w:tc>
        <w:tc>
          <w:tcPr>
            <w:tcW w:type="dxa" w:w="208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0.0227</w:t>
            </w:r>
          </w:p>
        </w:tc>
        <w:tc>
          <w:tcPr>
            <w:tcW w:type="dxa" w:w="208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0.0090</w:t>
            </w:r>
          </w:p>
        </w:tc>
        <w:tc>
          <w:tcPr>
            <w:tcW w:type="dxa" w:w="381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存在较弱正相关</w:t>
            </w:r>
          </w:p>
        </w:tc>
      </w:tr>
      <w:tr>
        <w:tc>
          <w:tcPr>
            <w:tcW w:type="dxa" w:w="201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20日低波动</w:t>
            </w:r>
          </w:p>
        </w:tc>
        <w:tc>
          <w:tcPr>
            <w:tcW w:type="dxa" w:w="208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0.0344</w:t>
            </w:r>
          </w:p>
        </w:tc>
        <w:tc>
          <w:tcPr>
            <w:tcW w:type="dxa" w:w="208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0.0321</w:t>
            </w:r>
          </w:p>
        </w:tc>
        <w:tc>
          <w:tcPr>
            <w:tcW w:type="dxa" w:w="381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三者中IC相对最高，但仍需看分组稳定性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ptos" w:hAnsi="Aptos" w:eastAsia="Microsoft YaHei"/>
          <w:b/>
          <w:color w:val="000000"/>
          <w:sz w:val="34"/>
        </w:rPr>
        <w:t>Backtrader 三因子组合回测</w:t>
      </w:r>
    </w:p>
    <w:p>
      <w:pPr>
        <w:pStyle w:val="Heading2"/>
        <w:pageBreakBefore w:val="0"/>
      </w:pPr>
      <w:r>
        <w:rPr>
          <w:rFonts w:ascii="Aptos" w:hAnsi="Aptos" w:eastAsia="Microsoft YaHei"/>
          <w:b/>
          <w:color w:val="000000"/>
          <w:sz w:val="28"/>
        </w:rPr>
        <w:t>策略规则</w:t>
      </w:r>
    </w:p>
    <w:p>
      <w:pPr>
        <w:pStyle w:val="ListBullet"/>
      </w:pPr>
      <w:r>
        <w:rPr>
          <w:rFonts w:ascii="Aptos" w:hAnsi="Aptos" w:eastAsia="Microsoft YaHei"/>
          <w:sz w:val="20"/>
        </w:rPr>
        <w:t>每天分别计算20日动量、5日反转和20日低波动。</w:t>
      </w:r>
    </w:p>
    <w:p>
      <w:pPr>
        <w:pStyle w:val="ListBullet"/>
      </w:pPr>
      <w:r>
        <w:rPr>
          <w:rFonts w:ascii="Aptos" w:hAnsi="Aptos" w:eastAsia="Microsoft YaHei"/>
          <w:sz w:val="20"/>
        </w:rPr>
        <w:t>把每个因子转换为当日横截面百分位排名，再等权平均成综合分数。</w:t>
      </w:r>
    </w:p>
    <w:p>
      <w:pPr>
        <w:pStyle w:val="ListBullet"/>
      </w:pPr>
      <w:r>
        <w:rPr>
          <w:rFonts w:ascii="Aptos" w:hAnsi="Aptos" w:eastAsia="Microsoft YaHei"/>
          <w:sz w:val="20"/>
        </w:rPr>
        <w:t>从第21个交易日起，每20个交易日调仓一次。</w:t>
      </w:r>
    </w:p>
    <w:p>
      <w:pPr>
        <w:pStyle w:val="ListBullet"/>
      </w:pPr>
      <w:r>
        <w:rPr>
          <w:rFonts w:ascii="Aptos" w:hAnsi="Aptos" w:eastAsia="Microsoft YaHei"/>
          <w:sz w:val="20"/>
        </w:rPr>
        <w:t>等权持有综合分数最高的20只股票，目标总仓位90%。</w:t>
      </w:r>
    </w:p>
    <w:p>
      <w:pPr>
        <w:pStyle w:val="ListBullet"/>
      </w:pPr>
      <w:r>
        <w:rPr>
          <w:rFonts w:ascii="Aptos" w:hAnsi="Aptos" w:eastAsia="Microsoft YaHei"/>
          <w:sz w:val="20"/>
        </w:rPr>
        <w:t>佣金按双边万分之三演示，订单在下一根K线执行。</w:t>
      </w:r>
    </w:p>
    <w:p>
      <w:pPr>
        <w:pStyle w:val="Heading2"/>
        <w:pageBreakBefore w:val="0"/>
      </w:pPr>
      <w:r>
        <w:rPr>
          <w:rFonts w:ascii="Aptos" w:hAnsi="Aptos" w:eastAsia="Microsoft YaHei"/>
          <w:b/>
          <w:color w:val="000000"/>
          <w:sz w:val="28"/>
        </w:rPr>
        <w:t>主要类和函数地图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096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代码单元</w:t>
            </w:r>
          </w:p>
        </w:tc>
        <w:tc>
          <w:tcPr>
            <w:tcW w:type="dxa" w:w="3240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248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初学者重点</w:t>
            </w:r>
          </w:p>
        </w:tc>
      </w:tr>
      <w:tr>
        <w:tc>
          <w:tcPr>
            <w:tcW w:type="dxa" w:w="30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PandasThreeFactorData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扩展Backtrader数据feed</w:t>
            </w:r>
          </w:p>
        </w:tc>
        <w:tc>
          <w:tcPr>
            <w:tcW w:type="dxa" w:w="424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给标准OHLC增加三个因子和综合分数line</w:t>
            </w:r>
          </w:p>
        </w:tc>
      </w:tr>
      <w:tr>
        <w:tc>
          <w:tcPr>
            <w:tcW w:type="dxa" w:w="30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add_stock_feeds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逐只股票创建数据源</w:t>
            </w:r>
          </w:p>
        </w:tc>
        <w:tc>
          <w:tcPr>
            <w:tcW w:type="dxa" w:w="424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不把缺失价格填成0；当前OHLC都用收盘价演示</w:t>
            </w:r>
          </w:p>
        </w:tc>
      </w:tr>
      <w:tr>
        <w:tc>
          <w:tcPr>
            <w:tcW w:type="dxa" w:w="30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ThreeFactorPortfolio.prenext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部分股票尚未上市时仍运行</w:t>
            </w:r>
          </w:p>
        </w:tc>
        <w:tc>
          <w:tcPr>
            <w:tcW w:type="dxa" w:w="424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避免等待最后一只股票上市才开始回测</w:t>
            </w:r>
          </w:p>
        </w:tc>
      </w:tr>
      <w:tr>
        <w:tc>
          <w:tcPr>
            <w:tcW w:type="dxa" w:w="30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ThreeFactorPortfolio.next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选股、卖出和目标权重下单</w:t>
            </w:r>
          </w:p>
        </w:tc>
        <w:tc>
          <w:tcPr>
            <w:tcW w:type="dxa" w:w="424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当前日产生信号，下一根K线成交</w:t>
            </w:r>
          </w:p>
        </w:tc>
      </w:tr>
      <w:tr>
        <w:tc>
          <w:tcPr>
            <w:tcW w:type="dxa" w:w="30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notify_order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记录失败订单</w:t>
            </w:r>
          </w:p>
        </w:tc>
        <w:tc>
          <w:tcPr>
            <w:tcW w:type="dxa" w:w="424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本次实测失败订单为0</w:t>
            </w:r>
          </w:p>
        </w:tc>
      </w:tr>
      <w:tr>
        <w:tc>
          <w:tcPr>
            <w:tcW w:type="dxa" w:w="30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save_results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计算并保存绩效</w:t>
            </w:r>
          </w:p>
        </w:tc>
        <w:tc>
          <w:tcPr>
            <w:tcW w:type="dxa" w:w="424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资金曲线、年化收益、波动、夏普和回撤</w:t>
            </w:r>
          </w:p>
        </w:tc>
      </w:tr>
      <w:tr>
        <w:tc>
          <w:tcPr>
            <w:tcW w:type="dxa" w:w="30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plot_results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保存和显示图形</w:t>
            </w:r>
          </w:p>
        </w:tc>
        <w:tc>
          <w:tcPr>
            <w:tcW w:type="dxa" w:w="424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F5时使用Qt5Agg弹窗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rPr>
          <w:rFonts w:ascii="Aptos" w:hAnsi="Aptos" w:eastAsia="Microsoft YaHei"/>
          <w:b/>
          <w:color w:val="000000"/>
          <w:sz w:val="28"/>
        </w:rPr>
        <w:t>事件驱动逻辑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>if (len(self) - WARMUP_DAYS - 1) % REBALANCE_EVERY != 0: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 xml:space="preserve">    return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>selected = sorted(candidates, reverse=True)[:TOP_N]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>self.order_target_percent(data=data, target=0.90 / len(selected))</w:t>
      </w:r>
    </w:p>
    <w:p>
      <w:pPr>
        <w:pStyle w:val="BodyText"/>
      </w:pPr>
      <w:r>
        <w:rPr>
          <w:rFonts w:ascii="Aptos" w:hAnsi="Aptos" w:eastAsia="Microsoft YaHei"/>
          <w:sz w:val="20"/>
        </w:rPr>
        <w:t>Backtrader不是一次性向量计算。它让时间逐日推进，每天调用next。订单对象、持仓、现金和手续费由broker管理。本例先发出清仓指令，再发出目标权重指令，并保留10%现金缓冲，降低同时换仓时的资金不足风险。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228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test_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22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Microsoft YaHei"/>
          <w:i/>
          <w:color w:val="555555"/>
          <w:sz w:val="18"/>
        </w:rPr>
        <w:t>图2 三因子组合与等权股票池的资金曲线及策略回撤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44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944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本次结果</w:t>
            </w:r>
          </w:p>
        </w:tc>
        <w:tc>
          <w:tcPr>
            <w:tcW w:type="dxa" w:w="6696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94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总收益</w:t>
            </w:r>
          </w:p>
        </w:tc>
        <w:tc>
          <w:tcPr>
            <w:tcW w:type="dxa" w:w="194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15.47%</w:t>
            </w:r>
          </w:p>
        </w:tc>
        <w:tc>
          <w:tcPr>
            <w:tcW w:type="dxa" w:w="66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100万元期末约115.47万元</w:t>
            </w:r>
          </w:p>
        </w:tc>
      </w:tr>
      <w:tr>
        <w:tc>
          <w:tcPr>
            <w:tcW w:type="dxa" w:w="194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年化收益</w:t>
            </w:r>
          </w:p>
        </w:tc>
        <w:tc>
          <w:tcPr>
            <w:tcW w:type="dxa" w:w="194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3.04%</w:t>
            </w:r>
          </w:p>
        </w:tc>
        <w:tc>
          <w:tcPr>
            <w:tcW w:type="dxa" w:w="66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按252个交易日折算</w:t>
            </w:r>
          </w:p>
        </w:tc>
      </w:tr>
      <w:tr>
        <w:tc>
          <w:tcPr>
            <w:tcW w:type="dxa" w:w="194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年化波动</w:t>
            </w:r>
          </w:p>
        </w:tc>
        <w:tc>
          <w:tcPr>
            <w:tcW w:type="dxa" w:w="194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15.08%</w:t>
            </w:r>
          </w:p>
        </w:tc>
        <w:tc>
          <w:tcPr>
            <w:tcW w:type="dxa" w:w="66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日收益标准差年化</w:t>
            </w:r>
          </w:p>
        </w:tc>
      </w:tr>
      <w:tr>
        <w:tc>
          <w:tcPr>
            <w:tcW w:type="dxa" w:w="194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夏普比率</w:t>
            </w:r>
          </w:p>
        </w:tc>
        <w:tc>
          <w:tcPr>
            <w:tcW w:type="dxa" w:w="194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0.274</w:t>
            </w:r>
          </w:p>
        </w:tc>
        <w:tc>
          <w:tcPr>
            <w:tcW w:type="dxa" w:w="66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示例使用无风险利率0</w:t>
            </w:r>
          </w:p>
        </w:tc>
      </w:tr>
      <w:tr>
        <w:tc>
          <w:tcPr>
            <w:tcW w:type="dxa" w:w="194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最大回撤</w:t>
            </w:r>
          </w:p>
        </w:tc>
        <w:tc>
          <w:tcPr>
            <w:tcW w:type="dxa" w:w="194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21.73%</w:t>
            </w:r>
          </w:p>
        </w:tc>
        <w:tc>
          <w:tcPr>
            <w:tcW w:type="dxa" w:w="66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历史高点到随后低点的最大跌幅</w:t>
            </w:r>
          </w:p>
        </w:tc>
      </w:tr>
      <w:tr>
        <w:tc>
          <w:tcPr>
            <w:tcW w:type="dxa" w:w="194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订单失败</w:t>
            </w:r>
          </w:p>
        </w:tc>
        <w:tc>
          <w:tcPr>
            <w:tcW w:type="dxa" w:w="194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0</w:t>
            </w:r>
          </w:p>
        </w:tc>
        <w:tc>
          <w:tcPr>
            <w:tcW w:type="dxa" w:w="669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60次调仓均未发生Margin或Rejected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Aptos" w:hAnsi="Aptos" w:eastAsia="Microsoft YaHei"/>
          <w:sz w:val="20"/>
        </w:rPr>
        <w:t>解释时必须同时看基准。图中策略明显落后于简单等权股票池，说明“因子有统计相关”不等于“当前组合规则能够跑赢基准”。这正是Backtrader阶段的价值：把抽象因子转化成真实的仓位和交易规则后重新检验。</w:t>
      </w:r>
    </w:p>
    <w:p>
      <w:pPr>
        <w:pStyle w:val="Heading1"/>
        <w:pageBreakBefore/>
      </w:pPr>
      <w:r>
        <w:rPr>
          <w:rFonts w:ascii="Aptos" w:hAnsi="Aptos" w:eastAsia="Microsoft YaHei"/>
          <w:b/>
          <w:color w:val="000000"/>
          <w:sz w:val="34"/>
        </w:rPr>
        <w:t>Qlib 三因子机器学习实验</w:t>
      </w:r>
    </w:p>
    <w:p>
      <w:pPr>
        <w:pStyle w:val="Heading2"/>
        <w:pageBreakBefore w:val="0"/>
      </w:pPr>
      <w:r>
        <w:rPr>
          <w:rFonts w:ascii="Aptos" w:hAnsi="Aptos" w:eastAsia="Microsoft YaHei"/>
          <w:b/>
          <w:color w:val="000000"/>
          <w:sz w:val="28"/>
        </w:rPr>
        <w:t>数据流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>真实价格宽表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 xml:space="preserve">  -&gt; 三个因子每日百分位排名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 xml:space="preserve">  -&gt; StaticDataLoader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 xml:space="preserve">  -&gt; DataHandlerLP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 xml:space="preserve">  -&gt; DatasetH(train / valid / test)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 xml:space="preserve">  -&gt; Qlib LGBModel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 xml:space="preserve">  -&gt; 2025年预测、Rank IC和分组收益</w:t>
      </w:r>
    </w:p>
    <w:p>
      <w:pPr>
        <w:pStyle w:val="BodyText"/>
      </w:pPr>
      <w:r>
        <w:rPr>
          <w:rFonts w:ascii="Aptos" w:hAnsi="Aptos" w:eastAsia="Microsoft YaHei"/>
          <w:sz w:val="20"/>
        </w:rPr>
        <w:t>StaticDataLoader适合已经拥有pandas表格的学习者，不要求先把CSV转换为Qlib二进制数据。它仍然使用Qlib标准的DataHandlerLP、DatasetH和LGBModel，所以可以学习Qlib的数据集和模型接口。</w:t>
      </w:r>
    </w:p>
    <w:p>
      <w:pPr>
        <w:pStyle w:val="Heading2"/>
        <w:pageBreakBefore w:val="0"/>
      </w:pPr>
      <w:r>
        <w:rPr>
          <w:rFonts w:ascii="Aptos" w:hAnsi="Aptos" w:eastAsia="Microsoft YaHei"/>
          <w:b/>
          <w:color w:val="000000"/>
          <w:sz w:val="28"/>
        </w:rPr>
        <w:t>主要函数地图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240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3528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240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关键点</w:t>
            </w:r>
          </w:p>
        </w:tc>
      </w:tr>
      <w:tr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build_qlib_table</w:t>
            </w:r>
          </w:p>
        </w:tc>
        <w:tc>
          <w:tcPr>
            <w:tcW w:type="dxa" w:w="35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生成三列特征和未来5日标签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特征只使用当日及历史数据；标签使用shift(-5)</w:t>
            </w:r>
          </w:p>
        </w:tc>
      </w:tr>
      <w:tr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create_qlib_dataset</w:t>
            </w:r>
          </w:p>
        </w:tc>
        <w:tc>
          <w:tcPr>
            <w:tcW w:type="dxa" w:w="35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构造Qlib数据管线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feature和label成为列的第一层分组</w:t>
            </w:r>
          </w:p>
        </w:tc>
      </w:tr>
      <w:tr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train_model</w:t>
            </w:r>
          </w:p>
        </w:tc>
        <w:tc>
          <w:tcPr>
            <w:tcW w:type="dxa" w:w="35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训练Qlib LGBModel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2021到2023训练，2024验证并早停</w:t>
            </w:r>
          </w:p>
        </w:tc>
      </w:tr>
      <w:tr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prepare_test_predictions</w:t>
            </w:r>
          </w:p>
        </w:tc>
        <w:tc>
          <w:tcPr>
            <w:tcW w:type="dxa" w:w="35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对2025年测试集预测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按datetime和instrument双层索引对齐标签</w:t>
            </w:r>
          </w:p>
        </w:tc>
      </w:tr>
      <w:tr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calculate_daily_rank_ic</w:t>
            </w:r>
          </w:p>
        </w:tc>
        <w:tc>
          <w:tcPr>
            <w:tcW w:type="dxa" w:w="35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逐日Spearman相关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衡量横截面排序能力</w:t>
            </w:r>
          </w:p>
        </w:tc>
      </w:tr>
      <w:tr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calculate_non_overlapping_portfolios</w:t>
            </w:r>
          </w:p>
        </w:tc>
        <w:tc>
          <w:tcPr>
            <w:tcW w:type="dxa" w:w="35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每5日构造高低预测组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避免5日标签大量重叠后直接连乘</w:t>
            </w:r>
          </w:p>
        </w:tc>
      </w:tr>
      <w:tr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save_evaluation</w:t>
            </w:r>
          </w:p>
        </w:tc>
        <w:tc>
          <w:tcPr>
            <w:tcW w:type="dxa" w:w="35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保存指标和MLflow记录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随机种子只控制训练复现，不生成股票价格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rPr>
          <w:rFonts w:ascii="Aptos" w:hAnsi="Aptos" w:eastAsia="Microsoft YaHei"/>
          <w:b/>
          <w:color w:val="000000"/>
          <w:sz w:val="28"/>
        </w:rPr>
        <w:t>模型训练代码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>model = LGBModel(loss='mse', learning_rate=0.03, num_leaves=31)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>model.fit(dataset, num_boost_round=300, early_stopping_rounds=30)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>prediction = model.predict(dataset, segment='test')</w:t>
      </w:r>
    </w:p>
    <w:p>
      <w:pPr>
        <w:pStyle w:val="BodyText"/>
      </w:pPr>
      <w:r>
        <w:rPr>
          <w:rFonts w:ascii="Aptos" w:hAnsi="Aptos" w:eastAsia="Microsoft YaHei"/>
          <w:sz w:val="20"/>
        </w:rPr>
        <w:t>LightGBM是树模型，可以学习三个因子的阈值和非线性组合。本次训练在第7轮早停，表示继续增加树并没有改善2024验证集误差。早停不是错误，而是防止模型继续拟合训练噪声。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198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lib_three_factor_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19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Microsoft YaHei"/>
          <w:i/>
          <w:color w:val="555555"/>
          <w:sz w:val="18"/>
        </w:rPr>
        <w:t>图3 Qlib模型的因子重要性、Rank IC、诊断组合和预测分组收益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376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32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2025测试结果</w:t>
            </w:r>
          </w:p>
        </w:tc>
        <w:tc>
          <w:tcPr>
            <w:tcW w:type="dxa" w:w="5400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23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测试观测</w:t>
            </w:r>
          </w:p>
        </w:tc>
        <w:tc>
          <w:tcPr>
            <w:tcW w:type="dxa" w:w="223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70,821</w:t>
            </w:r>
          </w:p>
        </w:tc>
        <w:tc>
          <w:tcPr>
            <w:tcW w:type="dxa" w:w="54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日期和股票组成的有效样本数</w:t>
            </w:r>
          </w:p>
        </w:tc>
      </w:tr>
      <w:tr>
        <w:tc>
          <w:tcPr>
            <w:tcW w:type="dxa" w:w="23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平均日Rank IC</w:t>
            </w:r>
          </w:p>
        </w:tc>
        <w:tc>
          <w:tcPr>
            <w:tcW w:type="dxa" w:w="223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0.0049</w:t>
            </w:r>
          </w:p>
        </w:tc>
        <w:tc>
          <w:tcPr>
            <w:tcW w:type="dxa" w:w="54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整体排序相关性很弱</w:t>
            </w:r>
          </w:p>
        </w:tc>
      </w:tr>
      <w:tr>
        <w:tc>
          <w:tcPr>
            <w:tcW w:type="dxa" w:w="23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日ICIR</w:t>
            </w:r>
          </w:p>
        </w:tc>
        <w:tc>
          <w:tcPr>
            <w:tcW w:type="dxa" w:w="223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0.0473</w:t>
            </w:r>
          </w:p>
        </w:tc>
        <w:tc>
          <w:tcPr>
            <w:tcW w:type="dxa" w:w="54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平均IC相对IC波动较低</w:t>
            </w:r>
          </w:p>
        </w:tc>
      </w:tr>
      <w:tr>
        <w:tc>
          <w:tcPr>
            <w:tcW w:type="dxa" w:w="23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IC为正比例</w:t>
            </w:r>
          </w:p>
        </w:tc>
        <w:tc>
          <w:tcPr>
            <w:tcW w:type="dxa" w:w="223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51.68%</w:t>
            </w:r>
          </w:p>
        </w:tc>
        <w:tc>
          <w:tcPr>
            <w:tcW w:type="dxa" w:w="54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略高于一半</w:t>
            </w:r>
          </w:p>
        </w:tc>
      </w:tr>
      <w:tr>
        <w:tc>
          <w:tcPr>
            <w:tcW w:type="dxa" w:w="23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预测最高组5日收益</w:t>
            </w:r>
          </w:p>
        </w:tc>
        <w:tc>
          <w:tcPr>
            <w:tcW w:type="dxa" w:w="223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1.294%</w:t>
            </w:r>
          </w:p>
        </w:tc>
        <w:tc>
          <w:tcPr>
            <w:tcW w:type="dxa" w:w="54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每5日非重叠诊断组合平均</w:t>
            </w:r>
          </w:p>
        </w:tc>
      </w:tr>
      <w:tr>
        <w:tc>
          <w:tcPr>
            <w:tcW w:type="dxa" w:w="23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预测最低组5日收益</w:t>
            </w:r>
          </w:p>
        </w:tc>
        <w:tc>
          <w:tcPr>
            <w:tcW w:type="dxa" w:w="223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0.553%</w:t>
            </w:r>
          </w:p>
        </w:tc>
        <w:tc>
          <w:tcPr>
            <w:tcW w:type="dxa" w:w="54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低预测组仍有正收益</w:t>
            </w:r>
          </w:p>
        </w:tc>
      </w:tr>
      <w:tr>
        <w:tc>
          <w:tcPr>
            <w:tcW w:type="dxa" w:w="23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高减低5日收益</w:t>
            </w:r>
          </w:p>
        </w:tc>
        <w:tc>
          <w:tcPr>
            <w:tcW w:type="dxa" w:w="223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0.741%</w:t>
            </w:r>
          </w:p>
        </w:tc>
        <w:tc>
          <w:tcPr>
            <w:tcW w:type="dxa" w:w="54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模型在测试期存在一定分组差异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Aptos" w:hAnsi="Aptos" w:eastAsia="Microsoft YaHei"/>
          <w:sz w:val="20"/>
        </w:rPr>
        <w:t>平均Rank IC接近0而高低组仍有差异并不矛盾：模型可能只在分布两端有一定区分力，但对全部股票的完整排序能力较弱。结论应是“值得继续检验”，而不是“模型已经可交易”。</w:t>
      </w:r>
    </w:p>
    <w:p>
      <w:pPr>
        <w:pStyle w:val="Heading1"/>
        <w:pageBreakBefore/>
      </w:pPr>
      <w:r>
        <w:rPr>
          <w:rFonts w:ascii="Aptos" w:hAnsi="Aptos" w:eastAsia="Microsoft YaHei"/>
          <w:b/>
          <w:color w:val="000000"/>
          <w:sz w:val="34"/>
        </w:rPr>
        <w:t>在 VS Code 中运行</w:t>
      </w:r>
    </w:p>
    <w:p>
      <w:pPr>
        <w:pStyle w:val="Heading2"/>
        <w:pageBreakBefore w:val="0"/>
      </w:pPr>
      <w:r>
        <w:rPr>
          <w:rFonts w:ascii="Aptos" w:hAnsi="Aptos" w:eastAsia="Microsoft YaHei"/>
          <w:b/>
          <w:color w:val="000000"/>
          <w:sz w:val="28"/>
        </w:rPr>
        <w:t>第一次运行顺序</w:t>
      </w:r>
    </w:p>
    <w:p>
      <w:pPr>
        <w:pStyle w:val="ListNumber"/>
      </w:pPr>
      <w:r>
        <w:rPr>
          <w:rFonts w:ascii="Aptos" w:hAnsi="Aptos" w:eastAsia="Microsoft YaHei"/>
          <w:sz w:val="20"/>
        </w:rPr>
        <w:t>双击 quant_finance.code-workspace 打开总工作区。</w:t>
      </w:r>
    </w:p>
    <w:p>
      <w:pPr>
        <w:pStyle w:val="ListNumber"/>
      </w:pPr>
      <w:r>
        <w:rPr>
          <w:rFonts w:ascii="Aptos" w:hAnsi="Aptos" w:eastAsia="Microsoft YaHei"/>
          <w:sz w:val="20"/>
        </w:rPr>
        <w:t>在左侧打开 02 Alphalens，按F5选择“真实数据：运行三个因子分析”。</w:t>
      </w:r>
    </w:p>
    <w:p>
      <w:pPr>
        <w:pStyle w:val="ListNumber"/>
      </w:pPr>
      <w:r>
        <w:rPr>
          <w:rFonts w:ascii="Aptos" w:hAnsi="Aptos" w:eastAsia="Microsoft YaHei"/>
          <w:sz w:val="20"/>
        </w:rPr>
        <w:t>在左侧打开 01 Backtrader，按F5选择“真实数据：Backtrader三因子回测”。</w:t>
      </w:r>
    </w:p>
    <w:p>
      <w:pPr>
        <w:pStyle w:val="ListNumber"/>
      </w:pPr>
      <w:r>
        <w:rPr>
          <w:rFonts w:ascii="Aptos" w:hAnsi="Aptos" w:eastAsia="Microsoft YaHei"/>
          <w:sz w:val="20"/>
        </w:rPr>
        <w:t>在左侧打开 03 Qlib，按F5选择“真实数据：Qlib三因子模型”。</w:t>
      </w:r>
    </w:p>
    <w:p>
      <w:pPr>
        <w:pStyle w:val="ListNumber"/>
      </w:pPr>
      <w:r>
        <w:rPr>
          <w:rFonts w:ascii="Aptos" w:hAnsi="Aptos" w:eastAsia="Microsoft YaHei"/>
          <w:sz w:val="20"/>
        </w:rPr>
        <w:t>等待终端出现“确认：使用Tushare真实数据”，查看弹窗，关闭窗口后程序结束。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4032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启动项</w:t>
            </w:r>
          </w:p>
        </w:tc>
        <w:tc>
          <w:tcPr>
            <w:tcW w:type="dxa" w:w="2088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大致耗时</w:t>
            </w:r>
          </w:p>
        </w:tc>
        <w:tc>
          <w:tcPr>
            <w:tcW w:type="dxa" w:w="3888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结果目录</w:t>
            </w:r>
          </w:p>
        </w:tc>
      </w:tr>
      <w:tr>
        <w:tc>
          <w:tcPr>
            <w:tcW w:type="dxa" w:w="403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真实数据：运行三个因子分析</w:t>
            </w:r>
          </w:p>
        </w:tc>
        <w:tc>
          <w:tcPr>
            <w:tcW w:type="dxa" w:w="208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约20到30秒</w:t>
            </w:r>
          </w:p>
        </w:tc>
        <w:tc>
          <w:tcPr>
            <w:tcW w:type="dxa" w:w="388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output/alphalens_three_factors</w:t>
            </w:r>
          </w:p>
        </w:tc>
      </w:tr>
      <w:tr>
        <w:tc>
          <w:tcPr>
            <w:tcW w:type="dxa" w:w="403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真实数据：Backtrader三因子回测</w:t>
            </w:r>
          </w:p>
        </w:tc>
        <w:tc>
          <w:tcPr>
            <w:tcW w:type="dxa" w:w="208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约1到2分钟</w:t>
            </w:r>
          </w:p>
        </w:tc>
        <w:tc>
          <w:tcPr>
            <w:tcW w:type="dxa" w:w="388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output/backtrader_three_factors</w:t>
            </w:r>
          </w:p>
        </w:tc>
      </w:tr>
      <w:tr>
        <w:tc>
          <w:tcPr>
            <w:tcW w:type="dxa" w:w="403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真实数据：Qlib三因子模型</w:t>
            </w:r>
          </w:p>
        </w:tc>
        <w:tc>
          <w:tcPr>
            <w:tcW w:type="dxa" w:w="208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约10到20秒</w:t>
            </w:r>
          </w:p>
        </w:tc>
        <w:tc>
          <w:tcPr>
            <w:tcW w:type="dxa" w:w="388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output/qlib_three_factors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rPr>
          <w:rFonts w:ascii="Aptos" w:hAnsi="Aptos" w:eastAsia="Microsoft YaHei"/>
          <w:b/>
          <w:color w:val="000000"/>
          <w:sz w:val="28"/>
        </w:rPr>
        <w:t>如何确认不是随机行情</w:t>
      </w:r>
    </w:p>
    <w:p>
      <w:pPr>
        <w:pStyle w:val="ListBullet"/>
      </w:pPr>
      <w:r>
        <w:rPr>
          <w:rFonts w:ascii="Aptos" w:hAnsi="Aptos" w:eastAsia="Microsoft YaHei"/>
          <w:sz w:val="20"/>
        </w:rPr>
        <w:t>终端会明确显示真实CSV路径、1212个交易日和300只股票。</w:t>
      </w:r>
    </w:p>
    <w:p>
      <w:pPr>
        <w:pStyle w:val="ListBullet"/>
      </w:pPr>
      <w:r>
        <w:rPr>
          <w:rFonts w:ascii="Aptos" w:hAnsi="Aptos" w:eastAsia="Microsoft YaHei"/>
          <w:sz w:val="20"/>
        </w:rPr>
        <w:t>三个正式F5启动项都指向 data/tushare_csi300/csi300_qfq_close_2021_2025.csv。</w:t>
      </w:r>
    </w:p>
    <w:p>
      <w:pPr>
        <w:pStyle w:val="ListBullet"/>
      </w:pPr>
      <w:r>
        <w:rPr>
          <w:rFonts w:ascii="Aptos" w:hAnsi="Aptos" w:eastAsia="Microsoft YaHei"/>
          <w:sz w:val="20"/>
        </w:rPr>
        <w:t>真实CSV缺失时三个程序会直接报错，不会自动改用模拟数据。</w:t>
      </w:r>
    </w:p>
    <w:p>
      <w:pPr>
        <w:pStyle w:val="ListBullet"/>
      </w:pPr>
      <w:r>
        <w:rPr>
          <w:rFonts w:ascii="Aptos" w:hAnsi="Aptos" w:eastAsia="Microsoft YaHei"/>
          <w:sz w:val="20"/>
        </w:rPr>
        <w:t>Qlib中的随机种子42仅用于模型训练复现，不会生成或改变价格。</w:t>
      </w:r>
    </w:p>
    <w:p>
      <w:pPr>
        <w:pStyle w:val="Heading2"/>
        <w:pageBreakBefore w:val="0"/>
      </w:pPr>
      <w:r>
        <w:rPr>
          <w:rFonts w:ascii="Aptos" w:hAnsi="Aptos" w:eastAsia="Microsoft YaHei"/>
          <w:b/>
          <w:color w:val="000000"/>
          <w:sz w:val="28"/>
        </w:rPr>
        <w:t>输出文件怎么读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032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结果文件</w:t>
            </w:r>
          </w:p>
        </w:tc>
        <w:tc>
          <w:tcPr>
            <w:tcW w:type="dxa" w:w="5976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先看什么</w:t>
            </w:r>
          </w:p>
        </w:tc>
      </w:tr>
      <w:tr>
        <w:tc>
          <w:tcPr>
            <w:tcW w:type="dxa" w:w="403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factor_summary.csv</w:t>
            </w:r>
          </w:p>
        </w:tc>
        <w:tc>
          <w:tcPr>
            <w:tcW w:type="dxa" w:w="59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三个因子的1日和5日IC、最高组减最低组收益</w:t>
            </w:r>
          </w:p>
        </w:tc>
      </w:tr>
      <w:tr>
        <w:tc>
          <w:tcPr>
            <w:tcW w:type="dxa" w:w="403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three_factors_diagnostics.png</w:t>
            </w:r>
          </w:p>
        </w:tc>
        <w:tc>
          <w:tcPr>
            <w:tcW w:type="dxa" w:w="59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分组是否单调、IC是否长期同方向</w:t>
            </w:r>
          </w:p>
        </w:tc>
      </w:tr>
      <w:tr>
        <w:tc>
          <w:tcPr>
            <w:tcW w:type="dxa" w:w="403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backtest_metrics.csv</w:t>
            </w:r>
          </w:p>
        </w:tc>
        <w:tc>
          <w:tcPr>
            <w:tcW w:type="dxa" w:w="59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总收益、年化收益、夏普、最大回撤</w:t>
            </w:r>
          </w:p>
        </w:tc>
      </w:tr>
      <w:tr>
        <w:tc>
          <w:tcPr>
            <w:tcW w:type="dxa" w:w="403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rebalance_holdings.csv</w:t>
            </w:r>
          </w:p>
        </w:tc>
        <w:tc>
          <w:tcPr>
            <w:tcW w:type="dxa" w:w="59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每次选中了哪些股票和目标权重</w:t>
            </w:r>
          </w:p>
        </w:tc>
      </w:tr>
      <w:tr>
        <w:tc>
          <w:tcPr>
            <w:tcW w:type="dxa" w:w="403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backtest_result.png</w:t>
            </w:r>
          </w:p>
        </w:tc>
        <w:tc>
          <w:tcPr>
            <w:tcW w:type="dxa" w:w="59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策略是否跑赢等权基准、回撤发生在哪些时期</w:t>
            </w:r>
          </w:p>
        </w:tc>
      </w:tr>
      <w:tr>
        <w:tc>
          <w:tcPr>
            <w:tcW w:type="dxa" w:w="403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qlib_metrics.csv</w:t>
            </w:r>
          </w:p>
        </w:tc>
        <w:tc>
          <w:tcPr>
            <w:tcW w:type="dxa" w:w="59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测试期IC、ICIR和高低预测组差异</w:t>
            </w:r>
          </w:p>
        </w:tc>
      </w:tr>
      <w:tr>
        <w:tc>
          <w:tcPr>
            <w:tcW w:type="dxa" w:w="403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qlib_predictions.csv</w:t>
            </w:r>
          </w:p>
        </w:tc>
        <w:tc>
          <w:tcPr>
            <w:tcW w:type="dxa" w:w="59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逐日逐股票预测值和真实未来收益</w:t>
            </w:r>
          </w:p>
        </w:tc>
      </w:tr>
      <w:tr>
        <w:tc>
          <w:tcPr>
            <w:tcW w:type="dxa" w:w="403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qlib_feature_importance.csv</w:t>
            </w:r>
          </w:p>
        </w:tc>
        <w:tc>
          <w:tcPr>
            <w:tcW w:type="dxa" w:w="59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模型使用三个因子的相对程度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ptos" w:hAnsi="Aptos" w:eastAsia="Microsoft YaHei"/>
          <w:b/>
          <w:color w:val="000000"/>
          <w:sz w:val="34"/>
        </w:rPr>
        <w:t>研究限制和下一步升级</w:t>
      </w:r>
    </w:p>
    <w:p>
      <w:pPr>
        <w:pStyle w:val="Heading2"/>
        <w:pageBreakBefore w:val="0"/>
      </w:pPr>
      <w:r>
        <w:rPr>
          <w:rFonts w:ascii="Aptos" w:hAnsi="Aptos" w:eastAsia="Microsoft YaHei"/>
          <w:b/>
          <w:color w:val="000000"/>
          <w:sz w:val="28"/>
        </w:rPr>
        <w:t>必须写进课程报告的限制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376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限制</w:t>
            </w:r>
          </w:p>
        </w:tc>
        <w:tc>
          <w:tcPr>
            <w:tcW w:type="dxa" w:w="4392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为什么重要</w:t>
            </w:r>
          </w:p>
        </w:tc>
        <w:tc>
          <w:tcPr>
            <w:tcW w:type="dxa" w:w="3240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升级方向</w:t>
            </w:r>
          </w:p>
        </w:tc>
      </w:tr>
      <w:tr>
        <w:tc>
          <w:tcPr>
            <w:tcW w:type="dxa" w:w="23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固定2025年末成分股</w:t>
            </w:r>
          </w:p>
        </w:tc>
        <w:tc>
          <w:tcPr>
            <w:tcW w:type="dxa" w:w="439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回看2021年时包含后来成为成分股的公司，产生幸存者偏差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按月获取当时的历史成分股</w:t>
            </w:r>
          </w:p>
        </w:tc>
      </w:tr>
      <w:tr>
        <w:tc>
          <w:tcPr>
            <w:tcW w:type="dxa" w:w="23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只有收盘价</w:t>
            </w:r>
          </w:p>
        </w:tc>
        <w:tc>
          <w:tcPr>
            <w:tcW w:type="dxa" w:w="439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Backtrader无法真实模拟下一日开盘成交和涨跌停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下载OHLCV、停牌和涨跌停数据</w:t>
            </w:r>
          </w:p>
        </w:tc>
      </w:tr>
      <w:tr>
        <w:tc>
          <w:tcPr>
            <w:tcW w:type="dxa" w:w="23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手续费简化</w:t>
            </w:r>
          </w:p>
        </w:tc>
        <w:tc>
          <w:tcPr>
            <w:tcW w:type="dxa" w:w="439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未区分佣金、印花税、滑点和市场冲击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按A股买卖方向分别设置成本</w:t>
            </w:r>
          </w:p>
        </w:tc>
      </w:tr>
      <w:tr>
        <w:tc>
          <w:tcPr>
            <w:tcW w:type="dxa" w:w="23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等权综合因子</w:t>
            </w:r>
          </w:p>
        </w:tc>
        <w:tc>
          <w:tcPr>
            <w:tcW w:type="dxa" w:w="439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三个因子的权重没有优化，也没有行业中性化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加入行业、市值中性和权重稳健性检验</w:t>
            </w:r>
          </w:p>
        </w:tc>
      </w:tr>
      <w:tr>
        <w:tc>
          <w:tcPr>
            <w:tcW w:type="dxa" w:w="23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一次训练验证测试切分</w:t>
            </w:r>
          </w:p>
        </w:tc>
        <w:tc>
          <w:tcPr>
            <w:tcW w:type="dxa" w:w="439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结果可能依赖特定年份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采用滚动或扩展窗口重新训练</w:t>
            </w:r>
          </w:p>
        </w:tc>
      </w:tr>
      <w:tr>
        <w:tc>
          <w:tcPr>
            <w:tcW w:type="dxa" w:w="23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短期样本和单一市场</w:t>
            </w:r>
          </w:p>
        </w:tc>
        <w:tc>
          <w:tcPr>
            <w:tcW w:type="dxa" w:w="439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结论不保证跨时期和跨市场稳定</w:t>
            </w:r>
          </w:p>
        </w:tc>
        <w:tc>
          <w:tcPr>
            <w:tcW w:type="dxa" w:w="32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延长样本并做子样本、牛熊市检验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Aptos" w:hAnsi="Aptos" w:eastAsia="Microsoft YaHei"/>
          <w:sz w:val="20"/>
        </w:rPr>
        <w:t>本项目是教学系统，不是投资建议。正确的学习结论不是寻找一条最漂亮的收益曲线，而是理解每一层假设如何影响结果，并能够用新的数据、时间区间和交易成本重复实验。</w:t>
      </w:r>
    </w:p>
    <w:p>
      <w:pPr>
        <w:pStyle w:val="Heading2"/>
        <w:pageBreakBefore w:val="0"/>
      </w:pPr>
      <w:r>
        <w:rPr>
          <w:rFonts w:ascii="Aptos" w:hAnsi="Aptos" w:eastAsia="Microsoft YaHei"/>
          <w:b/>
          <w:color w:val="000000"/>
          <w:sz w:val="28"/>
        </w:rPr>
        <w:t>建议的四个练习</w:t>
      </w:r>
    </w:p>
    <w:p>
      <w:pPr>
        <w:pStyle w:val="BodyText"/>
      </w:pPr>
      <w:r>
        <w:rPr>
          <w:rFonts w:ascii="Aptos" w:hAnsi="Aptos" w:eastAsia="Microsoft YaHei"/>
          <w:sz w:val="20"/>
        </w:rPr>
        <w:t>1. 把Backtrader的TOP_N从20改为10或50，对比收益、波动和回撤。</w:t>
      </w:r>
    </w:p>
    <w:p>
      <w:pPr>
        <w:pStyle w:val="BodyText"/>
      </w:pPr>
      <w:r>
        <w:rPr>
          <w:rFonts w:ascii="Aptos" w:hAnsi="Aptos" w:eastAsia="Microsoft YaHei"/>
          <w:sz w:val="20"/>
        </w:rPr>
        <w:t>2. 把调仓间隔从20日改为5日，观察手续费和换仓频率的影响。</w:t>
      </w:r>
    </w:p>
    <w:p>
      <w:pPr>
        <w:pStyle w:val="BodyText"/>
      </w:pPr>
      <w:r>
        <w:rPr>
          <w:rFonts w:ascii="Aptos" w:hAnsi="Aptos" w:eastAsia="Microsoft YaHei"/>
          <w:sz w:val="20"/>
        </w:rPr>
        <w:t>3. 在Qlib中分别只保留一个因子，比较模型IC和分组收益。</w:t>
      </w:r>
    </w:p>
    <w:p>
      <w:pPr>
        <w:pStyle w:val="BodyText"/>
      </w:pPr>
      <w:r>
        <w:rPr>
          <w:rFonts w:ascii="Aptos" w:hAnsi="Aptos" w:eastAsia="Microsoft YaHei"/>
          <w:sz w:val="20"/>
        </w:rPr>
        <w:t>4. 将Qlib测试年份改为2024、验证年份改为2023，检查结论是否依赖2025。</w:t>
      </w:r>
    </w:p>
    <w:p>
      <w:pPr>
        <w:pStyle w:val="Heading2"/>
        <w:pageBreakBefore w:val="0"/>
      </w:pPr>
      <w:r>
        <w:rPr>
          <w:rFonts w:ascii="Aptos" w:hAnsi="Aptos" w:eastAsia="Microsoft YaHei"/>
          <w:b/>
          <w:color w:val="000000"/>
          <w:sz w:val="28"/>
        </w:rPr>
        <w:t>常见报错速查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880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528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600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8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Couldn't find debug adapter descriptor</w:t>
            </w:r>
          </w:p>
        </w:tc>
        <w:tc>
          <w:tcPr>
            <w:tcW w:type="dxa" w:w="35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VS Code Python扩展未加载</w:t>
            </w:r>
          </w:p>
        </w:tc>
        <w:tc>
          <w:tcPr>
            <w:tcW w:type="dxa" w:w="36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完全重启VS Code，再从工作区按F5</w:t>
            </w:r>
          </w:p>
        </w:tc>
      </w:tr>
      <w:tr>
        <w:tc>
          <w:tcPr>
            <w:tcW w:type="dxa" w:w="28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ModuleNotFoundError</w:t>
            </w:r>
          </w:p>
        </w:tc>
        <w:tc>
          <w:tcPr>
            <w:tcW w:type="dxa" w:w="35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运行了错误的Python环境</w:t>
            </w:r>
          </w:p>
        </w:tc>
        <w:tc>
          <w:tcPr>
            <w:tcW w:type="dxa" w:w="36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使用各目录已经配置的F5启动项</w:t>
            </w:r>
          </w:p>
        </w:tc>
      </w:tr>
      <w:tr>
        <w:tc>
          <w:tcPr>
            <w:tcW w:type="dxa" w:w="28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未找到真实行情文件</w:t>
            </w:r>
          </w:p>
        </w:tc>
        <w:tc>
          <w:tcPr>
            <w:tcW w:type="dxa" w:w="35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下载尚未完成或文件被移动</w:t>
            </w:r>
          </w:p>
        </w:tc>
        <w:tc>
          <w:tcPr>
            <w:tcW w:type="dxa" w:w="36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重新运行Tushare下载启动项</w:t>
            </w:r>
          </w:p>
        </w:tc>
      </w:tr>
      <w:tr>
        <w:tc>
          <w:tcPr>
            <w:tcW w:type="dxa" w:w="28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图形窗口一直运行</w:t>
            </w:r>
          </w:p>
        </w:tc>
        <w:tc>
          <w:tcPr>
            <w:tcW w:type="dxa" w:w="35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plt.show正在等待用户关闭窗口</w:t>
            </w:r>
          </w:p>
        </w:tc>
        <w:tc>
          <w:tcPr>
            <w:tcW w:type="dxa" w:w="36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查看完图表后关闭窗口</w:t>
            </w:r>
          </w:p>
        </w:tc>
      </w:tr>
      <w:tr>
        <w:tc>
          <w:tcPr>
            <w:tcW w:type="dxa" w:w="28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Dropped entries</w:t>
            </w:r>
          </w:p>
        </w:tc>
        <w:tc>
          <w:tcPr>
            <w:tcW w:type="dxa" w:w="35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因子历史不足或未来收益不足</w:t>
            </w:r>
          </w:p>
        </w:tc>
        <w:tc>
          <w:tcPr>
            <w:tcW w:type="dxa" w:w="36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少量删除属于正常，异常高时检查数据</w:t>
            </w:r>
          </w:p>
        </w:tc>
      </w:tr>
      <w:tr>
        <w:tc>
          <w:tcPr>
            <w:tcW w:type="dxa" w:w="28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Qlib early stopping</w:t>
            </w:r>
          </w:p>
        </w:tc>
        <w:tc>
          <w:tcPr>
            <w:tcW w:type="dxa" w:w="35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验证集误差不再改善</w:t>
            </w:r>
          </w:p>
        </w:tc>
        <w:tc>
          <w:tcPr>
            <w:tcW w:type="dxa" w:w="36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这是正常的防过拟合机制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ptos" w:hAnsi="Aptos" w:eastAsia="Microsoft YaHei"/>
          <w:b/>
          <w:color w:val="000000"/>
          <w:sz w:val="34"/>
        </w:rPr>
        <w:t>逐文件学习索引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4680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880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448"/>
            <w:vAlign w:val="center"/>
            <w:shd w:fill="274C77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建议阅读顺序</w:t>
            </w:r>
          </w:p>
        </w:tc>
      </w:tr>
      <w:tr>
        <w:tc>
          <w:tcPr>
            <w:tcW w:type="dxa" w:w="46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labs/alphalens/download_tushare_csi300.py</w:t>
            </w:r>
          </w:p>
        </w:tc>
        <w:tc>
          <w:tcPr>
            <w:tcW w:type="dxa" w:w="28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调用Tushare并建立真实价格宽表</w:t>
            </w:r>
          </w:p>
        </w:tc>
        <w:tc>
          <w:tcPr>
            <w:tcW w:type="dxa" w:w="244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先看配置和download_one_stock</w:t>
            </w:r>
          </w:p>
        </w:tc>
      </w:tr>
      <w:tr>
        <w:tc>
          <w:tcPr>
            <w:tcW w:type="dxa" w:w="46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labs/alphalens/three_factors_analysis.py</w:t>
            </w:r>
          </w:p>
        </w:tc>
        <w:tc>
          <w:tcPr>
            <w:tcW w:type="dxa" w:w="28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Alphalens因子诊断</w:t>
            </w:r>
          </w:p>
        </w:tc>
        <w:tc>
          <w:tcPr>
            <w:tcW w:type="dxa" w:w="244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配置 → calculate_factors → analyze_factor → main</w:t>
            </w:r>
          </w:p>
        </w:tc>
      </w:tr>
      <w:tr>
        <w:tc>
          <w:tcPr>
            <w:tcW w:type="dxa" w:w="46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labs/backtrader/three_factor_backtest.py</w:t>
            </w:r>
          </w:p>
        </w:tc>
        <w:tc>
          <w:tcPr>
            <w:tcW w:type="dxa" w:w="28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事件驱动组合回测</w:t>
            </w:r>
          </w:p>
        </w:tc>
        <w:tc>
          <w:tcPr>
            <w:tcW w:type="dxa" w:w="244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数据feed → Strategy → save_results → main</w:t>
            </w:r>
          </w:p>
        </w:tc>
      </w:tr>
      <w:tr>
        <w:tc>
          <w:tcPr>
            <w:tcW w:type="dxa" w:w="46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labs/qlib/three_factor_qlib.py</w:t>
            </w:r>
          </w:p>
        </w:tc>
        <w:tc>
          <w:tcPr>
            <w:tcW w:type="dxa" w:w="28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Qlib数据集和LightGBM实验</w:t>
            </w:r>
          </w:p>
        </w:tc>
        <w:tc>
          <w:tcPr>
            <w:tcW w:type="dxa" w:w="244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build_qlib_table → DatasetH → model → evaluation</w:t>
            </w:r>
          </w:p>
        </w:tc>
      </w:tr>
      <w:tr>
        <w:tc>
          <w:tcPr>
            <w:tcW w:type="dxa" w:w="46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各目录/.vscode/launch.json</w:t>
            </w:r>
          </w:p>
        </w:tc>
        <w:tc>
          <w:tcPr>
            <w:tcW w:type="dxa" w:w="28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F5启动配置和环境变量</w:t>
            </w:r>
          </w:p>
        </w:tc>
        <w:tc>
          <w:tcPr>
            <w:tcW w:type="dxa" w:w="244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理解program、python、cwd和env</w:t>
            </w:r>
          </w:p>
        </w:tc>
      </w:tr>
      <w:tr>
        <w:tc>
          <w:tcPr>
            <w:tcW w:type="dxa" w:w="46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各目录/.vscode/settings.json</w:t>
            </w:r>
          </w:p>
        </w:tc>
        <w:tc>
          <w:tcPr>
            <w:tcW w:type="dxa" w:w="28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固定目录使用的Python解释器</w:t>
            </w:r>
          </w:p>
        </w:tc>
        <w:tc>
          <w:tcPr>
            <w:tcW w:type="dxa" w:w="244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5F9FC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理解为什么三个库不共用一个环境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rPr>
          <w:rFonts w:ascii="Aptos" w:hAnsi="Aptos" w:eastAsia="Microsoft YaHei"/>
          <w:b/>
          <w:color w:val="000000"/>
          <w:sz w:val="28"/>
        </w:rPr>
        <w:t>仓库源码应该怎么看</w:t>
      </w:r>
    </w:p>
    <w:p>
      <w:pPr>
        <w:pStyle w:val="BodyText"/>
      </w:pPr>
      <w:r>
        <w:rPr>
          <w:rFonts w:ascii="Aptos" w:hAnsi="Aptos" w:eastAsia="Microsoft YaHei"/>
          <w:sz w:val="20"/>
        </w:rPr>
        <w:t>不要从仓库第一行开始逐文件阅读。先运行 labs 中的短示例，遇到具体对象再打开官方仓库或本地克隆目录查源码。例如看到 al.performance.factor_information_coefficient 后再搜索Alphalens的performance.py；看到 bt.Cerebro 后再搜索Backtrader的cerebro.py；看到 DatasetH 后再搜索Qlib的dataset模块。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>VS Code 全局搜索：Ctrl + Shift + F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>搜索示例：factor_information_coefficient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>搜索示例：class Cerebro</w:t>
      </w:r>
    </w:p>
    <w:p>
      <w:pPr>
        <w:spacing w:before="0" w:after="0"/>
        <w:ind w:left="360"/>
        <w:shd w:fill="F3F4F6"/>
      </w:pPr>
      <w:r>
        <w:rPr>
          <w:rFonts w:ascii="Cascadia Mono" w:hAnsi="Cascadia Mono" w:eastAsia="Microsoft YaHei"/>
          <w:sz w:val="17"/>
        </w:rPr>
        <w:t>搜索示例：class DatasetH</w:t>
      </w:r>
    </w:p>
    <w:p>
      <w:pPr>
        <w:pStyle w:val="Heading2"/>
        <w:pageBreakBefore w:val="0"/>
      </w:pPr>
      <w:r>
        <w:rPr>
          <w:rFonts w:ascii="Aptos" w:hAnsi="Aptos" w:eastAsia="Microsoft YaHei"/>
          <w:b/>
          <w:color w:val="000000"/>
          <w:sz w:val="28"/>
        </w:rPr>
        <w:t>参考链接</w:t>
      </w:r>
    </w:p>
    <w:p>
      <w:pPr>
        <w:pStyle w:val="ListBullet"/>
      </w:pPr>
      <w:r>
        <w:rPr>
          <w:rFonts w:ascii="Aptos" w:hAnsi="Aptos" w:eastAsia="Microsoft YaHei"/>
          <w:sz w:val="20"/>
        </w:rPr>
        <w:t>Alphalens GitHub  https://github.com/quantopian/alphalens</w:t>
      </w:r>
    </w:p>
    <w:p>
      <w:pPr>
        <w:pStyle w:val="ListBullet"/>
      </w:pPr>
      <w:r>
        <w:rPr>
          <w:rFonts w:ascii="Aptos" w:hAnsi="Aptos" w:eastAsia="Microsoft YaHei"/>
          <w:sz w:val="20"/>
        </w:rPr>
        <w:t>Backtrader GitHub  https://github.com/mementum/backtrader</w:t>
      </w:r>
    </w:p>
    <w:p>
      <w:pPr>
        <w:pStyle w:val="ListBullet"/>
      </w:pPr>
      <w:r>
        <w:rPr>
          <w:rFonts w:ascii="Aptos" w:hAnsi="Aptos" w:eastAsia="Microsoft YaHei"/>
          <w:sz w:val="20"/>
        </w:rPr>
        <w:t>Qlib GitHub  https://github.com/microsoft/qlib</w:t>
      </w:r>
    </w:p>
    <w:p>
      <w:pPr>
        <w:pStyle w:val="ListBullet"/>
      </w:pPr>
      <w:r>
        <w:rPr>
          <w:rFonts w:ascii="Aptos" w:hAnsi="Aptos" w:eastAsia="Microsoft YaHei"/>
          <w:sz w:val="20"/>
        </w:rPr>
        <w:t>Tushare日线接口  https://tushare.pro/document/2?doc_id=27</w:t>
      </w:r>
    </w:p>
    <w:p>
      <w:pPr>
        <w:pStyle w:val="ListBullet"/>
      </w:pPr>
      <w:r>
        <w:rPr>
          <w:rFonts w:ascii="Aptos" w:hAnsi="Aptos" w:eastAsia="Microsoft YaHei"/>
          <w:sz w:val="20"/>
        </w:rPr>
        <w:t>Tushare复权行情  https://tushare.pro/document/2?doc_id=146</w:t>
      </w:r>
    </w:p>
    <w:p>
      <w:pPr>
        <w:pStyle w:val="ListBullet"/>
      </w:pPr>
      <w:r>
        <w:rPr>
          <w:rFonts w:ascii="Aptos" w:hAnsi="Aptos" w:eastAsia="Microsoft YaHei"/>
          <w:sz w:val="20"/>
        </w:rPr>
        <w:t>Tushare指数权重  https://tushare.pro/document/2?doc_id=96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Microsoft YaHei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 w:eastAsia="Microsoft YaHei"/>
        <w:color w:val="666666"/>
        <w:sz w:val="18"/>
      </w:rPr>
      <w:t>计算金融三库学习手册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76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