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Decoding Accuracy by ROI and mask size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3"/>
        <w:gridCol w:w="1377"/>
        <w:gridCol w:w="655"/>
        <w:gridCol w:w="1927"/>
        <w:gridCol w:w="1071"/>
        <w:gridCol w:w="1132"/>
        <w:gridCol w:w="1291"/>
        <w:gridCol w:w="1291"/>
        <w:gridCol w:w="1597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ROI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Accuracy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funcloc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wholeROI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funcloc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4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wholeROI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2025-05-25T10:57:14Z</dcterms:modified>
  <cp:category/>
</cp:coreProperties>
</file>