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A23DF" w14:textId="07A9807D" w:rsidR="002B084D" w:rsidRPr="00A71890" w:rsidRDefault="00BB1F03" w:rsidP="002B084D">
      <w:pPr>
        <w:pStyle w:val="a7"/>
        <w:numPr>
          <w:ilvl w:val="0"/>
          <w:numId w:val="2"/>
        </w:numPr>
        <w:ind w:firstLineChars="0"/>
      </w:pPr>
      <w:r>
        <w:rPr>
          <w:rFonts w:hint="eastAsia"/>
        </w:rPr>
        <w:t>公司简介：招商银行成立于1</w:t>
      </w:r>
      <w:r>
        <w:t>987</w:t>
      </w:r>
      <w:r>
        <w:rPr>
          <w:rFonts w:hint="eastAsia"/>
        </w:rPr>
        <w:t>年，是一家在中国具有鲜明特色和市场影响力的全国性商业银行</w:t>
      </w:r>
      <w:r w:rsidR="00B478B3">
        <w:rPr>
          <w:rFonts w:hint="eastAsia"/>
        </w:rPr>
        <w:t>。其业务以中国市场为主，分销网络主要分布于中国大陆重要中心城市以及想干、纽约等国际金融中心。</w:t>
      </w:r>
      <w:r w:rsidR="00FD6651">
        <w:rPr>
          <w:rFonts w:hint="eastAsia"/>
        </w:rPr>
        <w:t>2</w:t>
      </w:r>
      <w:r w:rsidR="00FD6651">
        <w:t>002</w:t>
      </w:r>
      <w:r w:rsidR="00FD6651">
        <w:rPr>
          <w:rFonts w:hint="eastAsia"/>
        </w:rPr>
        <w:t>年4月，招商银行在上交所上市，随后于2</w:t>
      </w:r>
      <w:r w:rsidR="00FD6651">
        <w:t>006</w:t>
      </w:r>
      <w:r w:rsidR="00FD6651">
        <w:rPr>
          <w:rFonts w:hint="eastAsia"/>
        </w:rPr>
        <w:t>年9月在香港联交所上市</w:t>
      </w:r>
      <w:r w:rsidR="00B63E44">
        <w:rPr>
          <w:rFonts w:hint="eastAsia"/>
        </w:rPr>
        <w:t>。</w:t>
      </w:r>
      <w:r w:rsidR="002B084D" w:rsidRPr="002B084D">
        <w:rPr>
          <w:rFonts w:asciiTheme="minorEastAsia" w:hAnsiTheme="minorEastAsia" w:cs="宋体" w:hint="eastAsia"/>
          <w:color w:val="000000"/>
          <w:kern w:val="0"/>
          <w:sz w:val="22"/>
        </w:rPr>
        <w:t>公司是中国境内第一家完全由企业法人持股的股份制商业银行、国家从体制</w:t>
      </w:r>
      <w:proofErr w:type="gramStart"/>
      <w:r w:rsidR="002B084D" w:rsidRPr="002B084D">
        <w:rPr>
          <w:rFonts w:asciiTheme="minorEastAsia" w:hAnsiTheme="minorEastAsia" w:cs="宋体" w:hint="eastAsia"/>
          <w:color w:val="000000"/>
          <w:kern w:val="0"/>
          <w:sz w:val="22"/>
        </w:rPr>
        <w:t>外推动</w:t>
      </w:r>
      <w:proofErr w:type="gramEnd"/>
      <w:r w:rsidR="002B084D" w:rsidRPr="002B084D">
        <w:rPr>
          <w:rFonts w:asciiTheme="minorEastAsia" w:hAnsiTheme="minorEastAsia" w:cs="宋体" w:hint="eastAsia"/>
          <w:color w:val="000000"/>
          <w:kern w:val="0"/>
          <w:sz w:val="22"/>
        </w:rPr>
        <w:t>银行业改革的第一家试点银行，也是一家拥有商业银行、金融租赁、基金管理、人寿保险、境外投行等金融牌照的银行集团。近年来，公司聚焦移动优先策略，拥抱金融科技(Fintech)，率先推出闪电贷、刷脸取款、“一闪通”支付等创新服务，招商银行手机银行、掌上生活两大App已成行业翘楚，月活量均稳居金融行业前十。经过多年创新发展，招商银行部分业务领域已成为国内商业银行的标杆，连续多年获得境内外权威媒体评选的“中国最佳零售银行”“中国最佳私人银行”“中国最佳交易银行”等殊荣。</w:t>
      </w:r>
    </w:p>
    <w:p w14:paraId="0CB2ED3E" w14:textId="6B86787A" w:rsidR="00A71890" w:rsidRDefault="00A71890" w:rsidP="002B084D">
      <w:pPr>
        <w:pStyle w:val="a7"/>
        <w:numPr>
          <w:ilvl w:val="0"/>
          <w:numId w:val="2"/>
        </w:numPr>
        <w:ind w:firstLineChars="0"/>
      </w:pPr>
      <w:r>
        <w:rPr>
          <w:rFonts w:hint="eastAsia"/>
        </w:rPr>
        <w:t>管理层背景：</w:t>
      </w:r>
    </w:p>
    <w:p w14:paraId="20C8C793" w14:textId="713DFB51" w:rsidR="00A71890" w:rsidRPr="00D618F8" w:rsidRDefault="00A71890" w:rsidP="00A71890">
      <w:pPr>
        <w:pStyle w:val="a7"/>
        <w:numPr>
          <w:ilvl w:val="1"/>
          <w:numId w:val="2"/>
        </w:numPr>
        <w:ind w:firstLineChars="0"/>
        <w:rPr>
          <w:rFonts w:asciiTheme="minorEastAsia" w:hAnsiTheme="minorEastAsia"/>
        </w:rPr>
      </w:pPr>
      <w:r w:rsidRPr="00A71890">
        <w:rPr>
          <w:rFonts w:asciiTheme="minorEastAsia" w:hAnsiTheme="minorEastAsia" w:hint="eastAsia"/>
        </w:rPr>
        <w:t>董事长：缪建民，</w:t>
      </w:r>
      <w:r w:rsidR="00F82958">
        <w:rPr>
          <w:rFonts w:asciiTheme="minorEastAsia" w:hAnsiTheme="minorEastAsia"/>
        </w:rPr>
        <w:t>5</w:t>
      </w:r>
      <w:r w:rsidR="0003017A">
        <w:rPr>
          <w:rFonts w:asciiTheme="minorEastAsia" w:hAnsiTheme="minorEastAsia"/>
        </w:rPr>
        <w:t>6</w:t>
      </w:r>
      <w:r w:rsidR="0003017A">
        <w:rPr>
          <w:rFonts w:asciiTheme="minorEastAsia" w:hAnsiTheme="minorEastAsia" w:hint="eastAsia"/>
        </w:rPr>
        <w:t>岁，</w:t>
      </w:r>
      <w:r w:rsidRPr="00A71890">
        <w:rPr>
          <w:rFonts w:asciiTheme="minorEastAsia" w:hAnsiTheme="minorEastAsia" w:cs="宋体" w:hint="eastAsia"/>
          <w:color w:val="000000"/>
          <w:kern w:val="0"/>
          <w:szCs w:val="21"/>
        </w:rPr>
        <w:t>中央财经大学经济学博士</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高级经济师</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十九届中央候补委员</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现任招商局集团有限公司董事长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兼任招商局仁和人寿保险股份有限公司董事长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曾任中国人寿保险(集团)公司副董事长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总裁</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中国人民保险集团股份有限公司副董事长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总裁</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中国人民财产保险股份有限公司董事长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中国人保资产管理有限公司董事长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中国人民健康保险股份有限公司董事长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中国人民保险(香港)有限公司董事长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人保资本投资管理有限公司董事长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中国人民养老保险有限责任公司董事长</w:t>
      </w:r>
      <w:r w:rsidRPr="004E0072">
        <w:rPr>
          <w:rFonts w:asciiTheme="minorEastAsia" w:hAnsiTheme="minorEastAsia" w:cs="宋体" w:hint="eastAsia"/>
          <w:color w:val="000000"/>
          <w:kern w:val="0"/>
          <w:szCs w:val="21"/>
        </w:rPr>
        <w:t>，</w:t>
      </w:r>
      <w:r w:rsidRPr="00A71890">
        <w:rPr>
          <w:rFonts w:asciiTheme="minorEastAsia" w:hAnsiTheme="minorEastAsia" w:cs="宋体" w:hint="eastAsia"/>
          <w:color w:val="000000"/>
          <w:kern w:val="0"/>
          <w:szCs w:val="21"/>
        </w:rPr>
        <w:t>中国人民人寿保险股份有限公司董事长</w:t>
      </w:r>
      <w:r w:rsidRPr="004E0072">
        <w:rPr>
          <w:rFonts w:asciiTheme="minorEastAsia" w:hAnsiTheme="minorEastAsia" w:cs="宋体" w:hint="eastAsia"/>
          <w:color w:val="000000"/>
          <w:kern w:val="0"/>
          <w:szCs w:val="21"/>
        </w:rPr>
        <w:t>。</w:t>
      </w:r>
    </w:p>
    <w:p w14:paraId="38A119DE" w14:textId="6C3E6C73" w:rsidR="004E0072" w:rsidRPr="004E0072" w:rsidRDefault="00D618F8" w:rsidP="004E0072">
      <w:pPr>
        <w:pStyle w:val="a7"/>
        <w:widowControl/>
        <w:numPr>
          <w:ilvl w:val="1"/>
          <w:numId w:val="2"/>
        </w:numPr>
        <w:ind w:firstLineChars="0"/>
        <w:rPr>
          <w:rFonts w:ascii="等线" w:eastAsia="等线" w:hAnsi="等线" w:cs="宋体"/>
          <w:color w:val="000000"/>
          <w:kern w:val="0"/>
          <w:sz w:val="20"/>
          <w:szCs w:val="20"/>
        </w:rPr>
      </w:pPr>
      <w:r w:rsidRPr="004E0072">
        <w:rPr>
          <w:rFonts w:asciiTheme="minorEastAsia" w:hAnsiTheme="minorEastAsia" w:hint="eastAsia"/>
        </w:rPr>
        <w:t>行长：田慧宇</w:t>
      </w:r>
      <w:r w:rsidR="00F82958" w:rsidRPr="004E0072">
        <w:rPr>
          <w:rFonts w:asciiTheme="minorEastAsia" w:hAnsiTheme="minorEastAsia" w:hint="eastAsia"/>
        </w:rPr>
        <w:t>，</w:t>
      </w:r>
      <w:r w:rsidR="00CB04AA" w:rsidRPr="004E0072">
        <w:rPr>
          <w:rFonts w:asciiTheme="minorEastAsia" w:hAnsiTheme="minorEastAsia" w:hint="eastAsia"/>
        </w:rPr>
        <w:t>5</w:t>
      </w:r>
      <w:r w:rsidR="00CA1CF0">
        <w:rPr>
          <w:rFonts w:asciiTheme="minorEastAsia" w:hAnsiTheme="minorEastAsia"/>
        </w:rPr>
        <w:t>5</w:t>
      </w:r>
      <w:r w:rsidR="00CB04AA" w:rsidRPr="004E0072">
        <w:rPr>
          <w:rFonts w:asciiTheme="minorEastAsia" w:hAnsiTheme="minorEastAsia" w:hint="eastAsia"/>
        </w:rPr>
        <w:t>岁</w:t>
      </w:r>
      <w:r w:rsidR="004E0072">
        <w:rPr>
          <w:rFonts w:asciiTheme="minorEastAsia" w:hAnsiTheme="minorEastAsia" w:hint="eastAsia"/>
        </w:rPr>
        <w:t>，</w:t>
      </w:r>
      <w:r w:rsidR="004E0072" w:rsidRPr="004E0072">
        <w:rPr>
          <w:rFonts w:asciiTheme="minorEastAsia" w:hAnsiTheme="minorEastAsia" w:cs="宋体" w:hint="eastAsia"/>
          <w:color w:val="000000"/>
          <w:kern w:val="0"/>
          <w:szCs w:val="21"/>
        </w:rPr>
        <w:t>上海财经大学基建财务与信用专业学士</w:t>
      </w:r>
      <w:r w:rsidR="004E0072">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哥伦比亚大学公共管理专业硕士</w:t>
      </w:r>
      <w:r w:rsidR="004E0072">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高级经济师</w:t>
      </w:r>
      <w:r w:rsidR="004E0072">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1998年7月至2003年7月任中国信达资产管理公司信托投资公司副总裁</w:t>
      </w:r>
      <w:r w:rsidR="00FE17FD">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2003年7月至2006年12月任上海银行副行长</w:t>
      </w:r>
      <w:r w:rsidR="00FE17FD">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2006年12月至2011年3月历任中国建设银行股份有限公司(香港联交所和上海证券交易所上市公司)上海市分行副行长,深圳市分行主要负责人</w:t>
      </w:r>
      <w:r w:rsidR="00761D5E">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深圳市分行行长</w:t>
      </w:r>
      <w:r w:rsidR="00EB34AF">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2011年3月至2013年5月任中国建设银行零售业务总监兼北京市分行主要负责人</w:t>
      </w:r>
      <w:r w:rsidR="00761D5E">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行长</w:t>
      </w:r>
      <w:r w:rsidR="00761D5E">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2013年5月加入</w:t>
      </w:r>
      <w:r w:rsidR="00477A2C">
        <w:rPr>
          <w:rFonts w:asciiTheme="minorEastAsia" w:hAnsiTheme="minorEastAsia" w:cs="宋体" w:hint="eastAsia"/>
          <w:color w:val="000000"/>
          <w:kern w:val="0"/>
          <w:szCs w:val="21"/>
        </w:rPr>
        <w:t>招商银行，</w:t>
      </w:r>
      <w:r w:rsidR="004E0072" w:rsidRPr="004E0072">
        <w:rPr>
          <w:rFonts w:asciiTheme="minorEastAsia" w:hAnsiTheme="minorEastAsia" w:cs="宋体" w:hint="eastAsia"/>
          <w:color w:val="000000"/>
          <w:kern w:val="0"/>
          <w:szCs w:val="21"/>
        </w:rPr>
        <w:t>2013年9月起任</w:t>
      </w:r>
      <w:r w:rsidR="00477A2C">
        <w:rPr>
          <w:rFonts w:asciiTheme="minorEastAsia" w:hAnsiTheme="minorEastAsia" w:cs="宋体" w:hint="eastAsia"/>
          <w:color w:val="000000"/>
          <w:kern w:val="0"/>
          <w:szCs w:val="21"/>
        </w:rPr>
        <w:t>招商银行</w:t>
      </w:r>
      <w:r w:rsidR="004E0072" w:rsidRPr="004E0072">
        <w:rPr>
          <w:rFonts w:asciiTheme="minorEastAsia" w:hAnsiTheme="minorEastAsia" w:cs="宋体" w:hint="eastAsia"/>
          <w:color w:val="000000"/>
          <w:kern w:val="0"/>
          <w:szCs w:val="21"/>
        </w:rPr>
        <w:t>行长</w:t>
      </w:r>
      <w:r w:rsidR="00477A2C">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兼任招银国际董事长</w:t>
      </w:r>
      <w:r w:rsidR="00477A2C">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招银国际金融有限公司董事长</w:t>
      </w:r>
      <w:r w:rsidR="00477A2C">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招联消费金融有限公司副董事长</w:t>
      </w:r>
      <w:r w:rsidR="00477A2C">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中国银行间市场交易商协会监事长</w:t>
      </w:r>
      <w:r w:rsidR="00477A2C">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深圳市提升企业竞争力战略咨询委员会顾问</w:t>
      </w:r>
      <w:r w:rsidR="00477A2C">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中国国际商会副会长</w:t>
      </w:r>
      <w:r w:rsidR="00477A2C">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银行业信息科技风险管理高层指导委员会委员</w:t>
      </w:r>
      <w:r w:rsidR="00477A2C">
        <w:rPr>
          <w:rFonts w:asciiTheme="minorEastAsia" w:hAnsiTheme="minorEastAsia" w:cs="宋体" w:hint="eastAsia"/>
          <w:color w:val="000000"/>
          <w:kern w:val="0"/>
          <w:szCs w:val="21"/>
        </w:rPr>
        <w:t>，</w:t>
      </w:r>
      <w:r w:rsidR="004E0072" w:rsidRPr="004E0072">
        <w:rPr>
          <w:rFonts w:asciiTheme="minorEastAsia" w:hAnsiTheme="minorEastAsia" w:cs="宋体" w:hint="eastAsia"/>
          <w:color w:val="000000"/>
          <w:kern w:val="0"/>
          <w:szCs w:val="21"/>
        </w:rPr>
        <w:t>中国互联网金融协会理事</w:t>
      </w:r>
      <w:r w:rsidR="00477A2C">
        <w:rPr>
          <w:rFonts w:asciiTheme="minorEastAsia" w:hAnsiTheme="minorEastAsia" w:cs="宋体" w:hint="eastAsia"/>
          <w:color w:val="000000"/>
          <w:kern w:val="0"/>
          <w:szCs w:val="21"/>
        </w:rPr>
        <w:t>。</w:t>
      </w:r>
    </w:p>
    <w:p w14:paraId="7351D6EB" w14:textId="4816EF1B" w:rsidR="00934A88" w:rsidRPr="00934A88" w:rsidRDefault="005C0864" w:rsidP="00934A88">
      <w:pPr>
        <w:pStyle w:val="a7"/>
        <w:widowControl/>
        <w:numPr>
          <w:ilvl w:val="1"/>
          <w:numId w:val="2"/>
        </w:numPr>
        <w:ind w:firstLineChars="0"/>
        <w:rPr>
          <w:rFonts w:asciiTheme="minorEastAsia" w:hAnsiTheme="minorEastAsia" w:cs="宋体"/>
          <w:color w:val="000000"/>
          <w:kern w:val="0"/>
          <w:szCs w:val="21"/>
        </w:rPr>
      </w:pPr>
      <w:r w:rsidRPr="00934A88">
        <w:rPr>
          <w:rFonts w:asciiTheme="minorEastAsia" w:hAnsiTheme="minorEastAsia" w:hint="eastAsia"/>
        </w:rPr>
        <w:t>监事长：刘元</w:t>
      </w:r>
      <w:r w:rsidR="00934A88" w:rsidRPr="00934A88">
        <w:rPr>
          <w:rFonts w:asciiTheme="minorEastAsia" w:hAnsiTheme="minorEastAsia" w:hint="eastAsia"/>
        </w:rPr>
        <w:t>，5</w:t>
      </w:r>
      <w:r w:rsidR="00934A88" w:rsidRPr="00934A88">
        <w:rPr>
          <w:rFonts w:asciiTheme="minorEastAsia" w:hAnsiTheme="minorEastAsia"/>
        </w:rPr>
        <w:t>9</w:t>
      </w:r>
      <w:r w:rsidR="00934A88" w:rsidRPr="00934A88">
        <w:rPr>
          <w:rFonts w:asciiTheme="minorEastAsia" w:hAnsiTheme="minorEastAsia" w:hint="eastAsia"/>
        </w:rPr>
        <w:t>岁，</w:t>
      </w:r>
      <w:r w:rsidR="00934A88" w:rsidRPr="00934A88">
        <w:rPr>
          <w:rFonts w:asciiTheme="minorEastAsia" w:hAnsiTheme="minorEastAsia" w:cs="宋体" w:hint="eastAsia"/>
          <w:color w:val="000000"/>
          <w:kern w:val="0"/>
          <w:szCs w:val="21"/>
        </w:rPr>
        <w:t>公司监事长、职工监事，中国人民大学世界经济专业本科毕业，高级经济师.1984年8月至1991年10月历任中国人民银行外事局管理处副主任科员</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主任科员.1991年10月至1994年2月历任国家外汇管理局副处级秘书</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外汇业务司金管处副处长</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1994年2月至2003年7月历任中国人民银行办公厅正处级秘书</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银行司监管一处调研员</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银行监管二司监管三处处长</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银行监管二司监管七处处长</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2003年7月至2014年7月历任中国银监会银行监管二部副主任</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山西银监局局长</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深圳银监局局长</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银监会银行业案件稽查局局长</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银监会银行业消费者权益保护局局长</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2014年8月起担任本公司监事长</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同时担任中国人民大学兼职教授</w:t>
      </w:r>
      <w:r w:rsidR="00934A88">
        <w:rPr>
          <w:rFonts w:asciiTheme="minorEastAsia" w:hAnsiTheme="minorEastAsia" w:cs="宋体" w:hint="eastAsia"/>
          <w:color w:val="000000"/>
          <w:kern w:val="0"/>
          <w:szCs w:val="21"/>
        </w:rPr>
        <w:t>，</w:t>
      </w:r>
      <w:r w:rsidR="00934A88" w:rsidRPr="00934A88">
        <w:rPr>
          <w:rFonts w:asciiTheme="minorEastAsia" w:hAnsiTheme="minorEastAsia" w:cs="宋体" w:hint="eastAsia"/>
          <w:color w:val="000000"/>
          <w:kern w:val="0"/>
          <w:szCs w:val="21"/>
        </w:rPr>
        <w:t>深圳市金融发展决策咨询委员会委员</w:t>
      </w:r>
      <w:r w:rsidR="00934A88">
        <w:rPr>
          <w:rFonts w:asciiTheme="minorEastAsia" w:hAnsiTheme="minorEastAsia" w:cs="宋体" w:hint="eastAsia"/>
          <w:color w:val="000000"/>
          <w:kern w:val="0"/>
          <w:szCs w:val="21"/>
        </w:rPr>
        <w:t>。</w:t>
      </w:r>
    </w:p>
    <w:p w14:paraId="17455069" w14:textId="7C3C1E86" w:rsidR="00D618F8" w:rsidRDefault="00D618F8" w:rsidP="00BF62FD">
      <w:pPr>
        <w:ind w:left="420"/>
        <w:rPr>
          <w:rFonts w:asciiTheme="minorEastAsia" w:hAnsiTheme="minorEastAsia"/>
        </w:rPr>
      </w:pPr>
    </w:p>
    <w:p w14:paraId="296C0659" w14:textId="58507733" w:rsidR="00763813" w:rsidRPr="00BF62FD" w:rsidRDefault="00763813" w:rsidP="00BF62FD">
      <w:pPr>
        <w:ind w:left="420"/>
        <w:rPr>
          <w:rFonts w:asciiTheme="minorEastAsia" w:hAnsiTheme="minorEastAsia"/>
        </w:rPr>
      </w:pPr>
      <w:r>
        <w:rPr>
          <w:rFonts w:asciiTheme="minorEastAsia" w:hAnsiTheme="minorEastAsia" w:hint="eastAsia"/>
        </w:rPr>
        <w:t>可以看到，公司的核心管理层都有着出色的学历以及丰富的从业经验</w:t>
      </w:r>
      <w:r w:rsidR="00562CAC">
        <w:rPr>
          <w:rFonts w:asciiTheme="minorEastAsia" w:hAnsiTheme="minorEastAsia" w:hint="eastAsia"/>
        </w:rPr>
        <w:t>。</w:t>
      </w:r>
    </w:p>
    <w:p w14:paraId="663B3EFC" w14:textId="77777777" w:rsidR="008C1456" w:rsidRPr="002B084D" w:rsidRDefault="008C1456" w:rsidP="008C1456"/>
    <w:p w14:paraId="5497A123" w14:textId="41894824" w:rsidR="00925384" w:rsidRDefault="00925384" w:rsidP="00BB1F03">
      <w:pPr>
        <w:pStyle w:val="a7"/>
        <w:numPr>
          <w:ilvl w:val="0"/>
          <w:numId w:val="2"/>
        </w:numPr>
        <w:ind w:firstLineChars="0"/>
      </w:pPr>
      <w:r>
        <w:rPr>
          <w:rFonts w:hint="eastAsia"/>
        </w:rPr>
        <w:t>行业简介：银行是现代金融业的主体，是国民经济运转的枢纽</w:t>
      </w:r>
      <w:r w:rsidR="001370D6">
        <w:rPr>
          <w:rFonts w:hint="eastAsia"/>
        </w:rPr>
        <w:t>，其最重要的职能就是从社会上吸收闲散资金并贷给需要资金周转的企业或者个人</w:t>
      </w:r>
      <w:r w:rsidR="00094D0B">
        <w:rPr>
          <w:rFonts w:hint="eastAsia"/>
        </w:rPr>
        <w:t>。对于绝大部分银行来说，</w:t>
      </w:r>
      <w:r w:rsidR="006E0AF7">
        <w:rPr>
          <w:rFonts w:hint="eastAsia"/>
        </w:rPr>
        <w:t>最</w:t>
      </w:r>
      <w:r w:rsidR="006E0AF7">
        <w:rPr>
          <w:rFonts w:hint="eastAsia"/>
        </w:rPr>
        <w:lastRenderedPageBreak/>
        <w:t>主要的负债就是存款而最主要的资产就是贷款。</w:t>
      </w:r>
      <w:r w:rsidR="004324E6">
        <w:rPr>
          <w:rFonts w:hint="eastAsia"/>
        </w:rPr>
        <w:t>我想大多数人对银行的认知都是银行可以非常轻松地赚到很多钱，大多数人都知道在中国的资本市场给银行业的整体估值非常低，不仅低于其他行业，也低于美国等发达资本市场给出的估值。</w:t>
      </w:r>
      <w:r w:rsidR="00CB5044">
        <w:rPr>
          <w:rFonts w:hint="eastAsia"/>
        </w:rPr>
        <w:t>诚然，市场不是完全有效的，但我们要相信市场是智慧的结晶。虽然市场也会犯错，但市场一定有其定价的逻辑所在。</w:t>
      </w:r>
    </w:p>
    <w:p w14:paraId="4AA16678" w14:textId="1E121626" w:rsidR="00E84EDA" w:rsidRDefault="00E84EDA" w:rsidP="00E84EDA"/>
    <w:p w14:paraId="36E86395" w14:textId="28979BDF" w:rsidR="00E84EDA" w:rsidRDefault="00E84EDA" w:rsidP="00E84EDA">
      <w:pPr>
        <w:ind w:left="360"/>
      </w:pPr>
      <w:r>
        <w:rPr>
          <w:rFonts w:hint="eastAsia"/>
        </w:rPr>
        <w:t>在我看来，银行业普遍偏低的估值水平是非常合理的，这是由其生意模式以及一些无法改变的外因所导致的。首先，银行是一个高度同质化的行业，我相信大多数人根本无法理解银行与银行之间有什么区别。</w:t>
      </w:r>
      <w:r w:rsidR="00C15C58">
        <w:rPr>
          <w:rFonts w:hint="eastAsia"/>
        </w:rPr>
        <w:t>虽然不同银行间的经营战略有所不同，譬如有同业之王兴业银行，也有主打零售的招商银行。</w:t>
      </w:r>
      <w:r w:rsidR="00BF27C7">
        <w:rPr>
          <w:rFonts w:hint="eastAsia"/>
        </w:rPr>
        <w:t>总体而言，银行有着以下三种特质，就是他们在压迫着银行的估值</w:t>
      </w:r>
      <w:r w:rsidR="00C437E7">
        <w:rPr>
          <w:rFonts w:hint="eastAsia"/>
        </w:rPr>
        <w:t>：</w:t>
      </w:r>
    </w:p>
    <w:p w14:paraId="5B43767B" w14:textId="040363D8" w:rsidR="00C437E7" w:rsidRDefault="00C437E7" w:rsidP="00C437E7">
      <w:pPr>
        <w:pStyle w:val="a7"/>
        <w:numPr>
          <w:ilvl w:val="1"/>
          <w:numId w:val="2"/>
        </w:numPr>
        <w:ind w:firstLineChars="0"/>
      </w:pPr>
      <w:r>
        <w:rPr>
          <w:rFonts w:hint="eastAsia"/>
        </w:rPr>
        <w:t>高杠杆：</w:t>
      </w:r>
      <w:r w:rsidR="00D316AE">
        <w:rPr>
          <w:rFonts w:hint="eastAsia"/>
        </w:rPr>
        <w:t>银行的总资产远远大于净资产。我们都知道扩大杠杆可以增加公司的</w:t>
      </w:r>
      <w:r w:rsidR="00C458E5">
        <w:rPr>
          <w:rFonts w:hint="eastAsia"/>
        </w:rPr>
        <w:t>利润提升其ROE，所以银行有扩大杠杆的倾向。</w:t>
      </w:r>
      <w:r w:rsidR="00D316AE">
        <w:rPr>
          <w:rFonts w:hint="eastAsia"/>
        </w:rPr>
        <w:t>但是杠杆可以放大利润也可以放大亏损</w:t>
      </w:r>
      <w:r w:rsidR="00F42ABD">
        <w:rPr>
          <w:rFonts w:hint="eastAsia"/>
        </w:rPr>
        <w:t>，而且还有挤兑的风险</w:t>
      </w:r>
      <w:r w:rsidR="00645915">
        <w:rPr>
          <w:rFonts w:hint="eastAsia"/>
        </w:rPr>
        <w:t>。巴菲特曾经说过：“银行业不是我们的最爱。当一个行业的资产普遍是其股东权益的2</w:t>
      </w:r>
      <w:r w:rsidR="00645915">
        <w:t>0</w:t>
      </w:r>
      <w:r w:rsidR="00645915">
        <w:rPr>
          <w:rFonts w:hint="eastAsia"/>
        </w:rPr>
        <w:t>倍时，只要资产端发生一点点状况就 有可能把大部分的股东权益给蚕食掉”。</w:t>
      </w:r>
    </w:p>
    <w:p w14:paraId="08A685C5" w14:textId="03A3E42F" w:rsidR="00C458E5" w:rsidRDefault="00C458E5" w:rsidP="00C458E5">
      <w:pPr>
        <w:ind w:left="840"/>
      </w:pPr>
    </w:p>
    <w:p w14:paraId="41759CBE" w14:textId="2EB4820B" w:rsidR="00C458E5" w:rsidRDefault="00C458E5" w:rsidP="00C458E5">
      <w:pPr>
        <w:ind w:left="840"/>
      </w:pPr>
      <w:r>
        <w:rPr>
          <w:rFonts w:hint="eastAsia"/>
        </w:rPr>
        <w:t>为了防止金融的系统性</w:t>
      </w:r>
      <w:r w:rsidR="001553BA">
        <w:rPr>
          <w:rFonts w:hint="eastAsia"/>
        </w:rPr>
        <w:t>风险，</w:t>
      </w:r>
      <w:r w:rsidR="0032104F">
        <w:rPr>
          <w:rFonts w:hint="eastAsia"/>
        </w:rPr>
        <w:t>全球银行业都在不断压制银行的杠杆倍数</w:t>
      </w:r>
      <w:r w:rsidR="0045653E">
        <w:rPr>
          <w:rFonts w:hint="eastAsia"/>
        </w:rPr>
        <w:t>，面临着《巴塞尔协议》等诸多监管的压力。</w:t>
      </w:r>
      <w:r w:rsidR="00253FDD">
        <w:rPr>
          <w:rFonts w:hint="eastAsia"/>
        </w:rPr>
        <w:t>其中最重要的指标就是资本充足率</w:t>
      </w:r>
      <w:r w:rsidR="00D214BD">
        <w:rPr>
          <w:rFonts w:hint="eastAsia"/>
        </w:rPr>
        <w:t>，反应了银行在存款人和债权人的资产</w:t>
      </w:r>
      <w:r w:rsidR="00994BB1">
        <w:rPr>
          <w:rFonts w:hint="eastAsia"/>
        </w:rPr>
        <w:t>遭到损失之前，银行以自有资本吸收损失的能力。</w:t>
      </w:r>
      <w:r w:rsidR="00C2454B">
        <w:rPr>
          <w:rFonts w:hint="eastAsia"/>
        </w:rPr>
        <w:t>我国银监会也参考巴三推出了《资本办法》，从2</w:t>
      </w:r>
      <w:r w:rsidR="00C2454B">
        <w:t>013</w:t>
      </w:r>
      <w:r w:rsidR="00C2454B">
        <w:rPr>
          <w:rFonts w:hint="eastAsia"/>
        </w:rPr>
        <w:t>年开始</w:t>
      </w:r>
      <w:r w:rsidR="003D02F7">
        <w:rPr>
          <w:rFonts w:hint="eastAsia"/>
        </w:rPr>
        <w:t>实施</w:t>
      </w:r>
      <w:r w:rsidR="007933A2">
        <w:rPr>
          <w:rFonts w:hint="eastAsia"/>
        </w:rPr>
        <w:t>。</w:t>
      </w:r>
      <w:r w:rsidR="00E66E1E">
        <w:rPr>
          <w:rFonts w:hint="eastAsia"/>
        </w:rPr>
        <w:t>主流上市银行的核心一级资本充足率、一级资本充足率以及资本充足率如下图所示。</w:t>
      </w:r>
      <w:r w:rsidR="00DD11FA">
        <w:rPr>
          <w:noProof/>
        </w:rPr>
        <w:drawing>
          <wp:inline distT="0" distB="0" distL="0" distR="0" wp14:anchorId="505585C8" wp14:editId="7A44E4FC">
            <wp:extent cx="4640580" cy="2720340"/>
            <wp:effectExtent l="0" t="0" r="7620" b="3810"/>
            <wp:docPr id="1" name="图表 1">
              <a:extLst xmlns:a="http://schemas.openxmlformats.org/drawingml/2006/main">
                <a:ext uri="{FF2B5EF4-FFF2-40B4-BE49-F238E27FC236}">
                  <a16:creationId xmlns:a16="http://schemas.microsoft.com/office/drawing/2014/main" id="{704B383E-BF62-4EBC-8163-18778F1DA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EDA3F4" w14:textId="5DBD8687" w:rsidR="00917736" w:rsidRDefault="00917736" w:rsidP="00C458E5">
      <w:pPr>
        <w:ind w:left="840"/>
      </w:pPr>
      <w:r>
        <w:rPr>
          <w:noProof/>
        </w:rPr>
        <w:lastRenderedPageBreak/>
        <w:drawing>
          <wp:inline distT="0" distB="0" distL="0" distR="0" wp14:anchorId="35E2DE10" wp14:editId="5B6DCC1A">
            <wp:extent cx="4572000" cy="2743200"/>
            <wp:effectExtent l="0" t="0" r="0" b="0"/>
            <wp:docPr id="2" name="图表 2">
              <a:extLst xmlns:a="http://schemas.openxmlformats.org/drawingml/2006/main">
                <a:ext uri="{FF2B5EF4-FFF2-40B4-BE49-F238E27FC236}">
                  <a16:creationId xmlns:a16="http://schemas.microsoft.com/office/drawing/2014/main" id="{7C57337F-22C0-4464-B9F9-55FD2CC72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DED8C3" w14:textId="2EA103DD" w:rsidR="00917736" w:rsidRDefault="00917736" w:rsidP="00C458E5">
      <w:pPr>
        <w:ind w:left="840"/>
      </w:pPr>
      <w:r>
        <w:rPr>
          <w:noProof/>
        </w:rPr>
        <w:drawing>
          <wp:inline distT="0" distB="0" distL="0" distR="0" wp14:anchorId="1E7BD006" wp14:editId="0EE82769">
            <wp:extent cx="4572000" cy="2743200"/>
            <wp:effectExtent l="0" t="0" r="0" b="0"/>
            <wp:docPr id="3" name="图表 3">
              <a:extLst xmlns:a="http://schemas.openxmlformats.org/drawingml/2006/main">
                <a:ext uri="{FF2B5EF4-FFF2-40B4-BE49-F238E27FC236}">
                  <a16:creationId xmlns:a16="http://schemas.microsoft.com/office/drawing/2014/main" id="{032349A5-381A-48C7-AE0B-217E60F88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1E0C0D" w14:textId="35787396" w:rsidR="00917736" w:rsidRDefault="00917736" w:rsidP="00C458E5">
      <w:pPr>
        <w:ind w:left="840"/>
      </w:pPr>
    </w:p>
    <w:p w14:paraId="68F70EBE" w14:textId="082810D9" w:rsidR="00917736" w:rsidRDefault="00917736" w:rsidP="00C458E5">
      <w:pPr>
        <w:ind w:left="840"/>
      </w:pPr>
      <w:r>
        <w:rPr>
          <w:rFonts w:hint="eastAsia"/>
        </w:rPr>
        <w:t>从上图，我们可以看到银行的</w:t>
      </w:r>
      <w:r w:rsidR="00832FF0">
        <w:rPr>
          <w:rFonts w:hint="eastAsia"/>
        </w:rPr>
        <w:t>各种</w:t>
      </w:r>
      <w:r>
        <w:rPr>
          <w:rFonts w:hint="eastAsia"/>
        </w:rPr>
        <w:t>资本充足率整体</w:t>
      </w:r>
      <w:r w:rsidR="005E2252">
        <w:rPr>
          <w:rFonts w:hint="eastAsia"/>
        </w:rPr>
        <w:t>均</w:t>
      </w:r>
      <w:r>
        <w:rPr>
          <w:rFonts w:hint="eastAsia"/>
        </w:rPr>
        <w:t>呈缓慢上升趋势，</w:t>
      </w:r>
      <w:r w:rsidR="00081115">
        <w:rPr>
          <w:rFonts w:hint="eastAsia"/>
        </w:rPr>
        <w:t>并且不同银行间的差异很大</w:t>
      </w:r>
      <w:r w:rsidR="001F0CF2">
        <w:rPr>
          <w:rFonts w:hint="eastAsia"/>
        </w:rPr>
        <w:t>，这是由监管标准不同所导致的。</w:t>
      </w:r>
      <w:r w:rsidR="006911A9">
        <w:rPr>
          <w:rFonts w:hint="eastAsia"/>
        </w:rPr>
        <w:t>银监会指定了6家我国系统性重要银行，对其在各级资本充足率的要求上，都要比其他银行高出1%。</w:t>
      </w:r>
      <w:r w:rsidR="00405567">
        <w:rPr>
          <w:rFonts w:hint="eastAsia"/>
        </w:rPr>
        <w:t>但通常来讲，资本充足率较高的银行，其抗风险的能力更强一些。</w:t>
      </w:r>
    </w:p>
    <w:p w14:paraId="041B0829" w14:textId="1C14D0A2" w:rsidR="00D146EF" w:rsidRDefault="00D146EF" w:rsidP="00C458E5">
      <w:pPr>
        <w:ind w:left="840"/>
      </w:pPr>
    </w:p>
    <w:p w14:paraId="6594921E" w14:textId="6E141AD6" w:rsidR="00D146EF" w:rsidRDefault="007B4A8E" w:rsidP="00C458E5">
      <w:pPr>
        <w:ind w:left="840"/>
      </w:pPr>
      <w:r>
        <w:rPr>
          <w:rFonts w:hint="eastAsia"/>
        </w:rPr>
        <w:t>与此同时，为了解决</w:t>
      </w:r>
      <w:r w:rsidR="00FB730A">
        <w:rPr>
          <w:rFonts w:hint="eastAsia"/>
        </w:rPr>
        <w:t>大型银行大到不能倒闭的问题，</w:t>
      </w:r>
      <w:r w:rsidR="00A509A5">
        <w:rPr>
          <w:rFonts w:hint="eastAsia"/>
        </w:rPr>
        <w:t>全球银行业监管机构对具有“全球系统性重要性”的银行，实施更严格的资本要求</w:t>
      </w:r>
      <w:r w:rsidR="001874BF">
        <w:rPr>
          <w:rFonts w:hint="eastAsia"/>
        </w:rPr>
        <w:t>。国内四大行入选，交通银行候选</w:t>
      </w:r>
      <w:r w:rsidR="00380D3F">
        <w:rPr>
          <w:rFonts w:hint="eastAsia"/>
        </w:rPr>
        <w:t>，这才是压制我国国有大行估值的最大原因。</w:t>
      </w:r>
    </w:p>
    <w:p w14:paraId="1456830C" w14:textId="55EE2E36" w:rsidR="009B2CF2" w:rsidRDefault="009B2CF2" w:rsidP="00C458E5">
      <w:pPr>
        <w:ind w:left="840"/>
      </w:pPr>
    </w:p>
    <w:p w14:paraId="2D6FB911" w14:textId="213589D6" w:rsidR="009B2CF2" w:rsidRDefault="009B2CF2" w:rsidP="00C458E5">
      <w:pPr>
        <w:ind w:left="840"/>
      </w:pPr>
      <w:r>
        <w:rPr>
          <w:rFonts w:hint="eastAsia"/>
        </w:rPr>
        <w:t>面对诸多监管压力，我国银行为了提升或者维持资本充足率</w:t>
      </w:r>
      <w:r w:rsidR="00002C79">
        <w:rPr>
          <w:rFonts w:hint="eastAsia"/>
        </w:rPr>
        <w:t>，开始不断的融资。</w:t>
      </w:r>
      <w:r w:rsidR="00066E05">
        <w:rPr>
          <w:rFonts w:hint="eastAsia"/>
        </w:rPr>
        <w:t>从上面的图表或许感受不到</w:t>
      </w:r>
      <w:r w:rsidR="00385893">
        <w:rPr>
          <w:rFonts w:hint="eastAsia"/>
        </w:rPr>
        <w:t>银行的压力，但我们要知道资本充足率的分母风险加权资产也是在不断增长的，其变化如下图所示。</w:t>
      </w:r>
    </w:p>
    <w:p w14:paraId="1DF58F8A" w14:textId="0AE24C79" w:rsidR="00794699" w:rsidRDefault="00794699" w:rsidP="00C458E5">
      <w:pPr>
        <w:ind w:left="840"/>
      </w:pPr>
      <w:r>
        <w:rPr>
          <w:noProof/>
        </w:rPr>
        <w:lastRenderedPageBreak/>
        <w:drawing>
          <wp:inline distT="0" distB="0" distL="0" distR="0" wp14:anchorId="5C2A31FB" wp14:editId="59CC619E">
            <wp:extent cx="4572000" cy="2743200"/>
            <wp:effectExtent l="0" t="0" r="0" b="0"/>
            <wp:docPr id="4" name="图表 4">
              <a:extLst xmlns:a="http://schemas.openxmlformats.org/drawingml/2006/main">
                <a:ext uri="{FF2B5EF4-FFF2-40B4-BE49-F238E27FC236}">
                  <a16:creationId xmlns:a16="http://schemas.microsoft.com/office/drawing/2014/main" id="{30DD0F8C-8BF3-4EAF-B281-B044333C3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9C782E" w14:textId="75B5081F" w:rsidR="00794699" w:rsidRDefault="00794699" w:rsidP="00C458E5">
      <w:pPr>
        <w:ind w:left="840"/>
      </w:pPr>
      <w:r>
        <w:rPr>
          <w:rFonts w:hint="eastAsia"/>
        </w:rPr>
        <w:t>可以看到，所有银行的风险加权资产都在稳步上升，四大行更是尤为突出，这也是为什么国有大行的前景堪忧。</w:t>
      </w:r>
      <w:r w:rsidR="00DC281B">
        <w:rPr>
          <w:rFonts w:hint="eastAsia"/>
        </w:rPr>
        <w:t>每年赚的钱完全都不够填补资本的缺口，绝大部分银行分红的钱还没有向市场融资的钱多，完全就是价值毁灭的表现。</w:t>
      </w:r>
    </w:p>
    <w:p w14:paraId="0E294489" w14:textId="6036F264" w:rsidR="008D2336" w:rsidRDefault="008D2336" w:rsidP="008D2336"/>
    <w:p w14:paraId="36FDD021" w14:textId="3C5BDD88" w:rsidR="008D2336" w:rsidRDefault="008D2336" w:rsidP="008D2336">
      <w:pPr>
        <w:pStyle w:val="a7"/>
        <w:numPr>
          <w:ilvl w:val="1"/>
          <w:numId w:val="2"/>
        </w:numPr>
        <w:ind w:firstLineChars="0"/>
      </w:pPr>
      <w:r>
        <w:rPr>
          <w:rFonts w:hint="eastAsia"/>
        </w:rPr>
        <w:t>高风险：</w:t>
      </w:r>
      <w:r w:rsidR="0020458C">
        <w:rPr>
          <w:rFonts w:hint="eastAsia"/>
        </w:rPr>
        <w:t>银行本身就是一种经营风险的行业。银行在识别资产风险的基础上给资产进行风险定价</w:t>
      </w:r>
      <w:r w:rsidR="00811DC0">
        <w:rPr>
          <w:rFonts w:hint="eastAsia"/>
        </w:rPr>
        <w:t>（贷款利率），然后将刚性负债配置到</w:t>
      </w:r>
      <w:r w:rsidR="00F647B3">
        <w:rPr>
          <w:rFonts w:hint="eastAsia"/>
        </w:rPr>
        <w:t>风险资产上来赚取</w:t>
      </w:r>
      <w:r w:rsidR="00D5431D">
        <w:rPr>
          <w:rFonts w:hint="eastAsia"/>
        </w:rPr>
        <w:t>承担风险的风险对价。</w:t>
      </w:r>
      <w:r w:rsidR="000D42C0">
        <w:rPr>
          <w:rFonts w:hint="eastAsia"/>
        </w:rPr>
        <w:t>银行主要面临着以下</w:t>
      </w:r>
      <w:r w:rsidR="00E8110A">
        <w:rPr>
          <w:rFonts w:hint="eastAsia"/>
        </w:rPr>
        <w:t>两种</w:t>
      </w:r>
      <w:r w:rsidR="000D42C0">
        <w:rPr>
          <w:rFonts w:hint="eastAsia"/>
        </w:rPr>
        <w:t>风险：</w:t>
      </w:r>
    </w:p>
    <w:p w14:paraId="027E4D44" w14:textId="15818C4F" w:rsidR="000D42C0" w:rsidRDefault="000D42C0" w:rsidP="000D42C0">
      <w:pPr>
        <w:pStyle w:val="a7"/>
        <w:numPr>
          <w:ilvl w:val="2"/>
          <w:numId w:val="2"/>
        </w:numPr>
        <w:ind w:firstLineChars="0"/>
      </w:pPr>
      <w:r>
        <w:rPr>
          <w:rFonts w:hint="eastAsia"/>
        </w:rPr>
        <w:t>信用风险：信用风险即借款者违约的风险，是银行面对的主要风险，由规律性因素（指行业或者个人执行合约的能力收到经济周期的影响）以及非规律性因素（指企业或者个人内在的因素引发的突发性危机，造成偿付能力下降）所致。</w:t>
      </w:r>
    </w:p>
    <w:p w14:paraId="25F07FF4" w14:textId="013BFB69" w:rsidR="00127563" w:rsidRDefault="00127563" w:rsidP="000D42C0">
      <w:pPr>
        <w:pStyle w:val="a7"/>
        <w:numPr>
          <w:ilvl w:val="2"/>
          <w:numId w:val="2"/>
        </w:numPr>
        <w:ind w:firstLineChars="0"/>
      </w:pPr>
      <w:r>
        <w:rPr>
          <w:rFonts w:hint="eastAsia"/>
        </w:rPr>
        <w:t>流动性风险：</w:t>
      </w:r>
      <w:r w:rsidR="00B60CB1">
        <w:rPr>
          <w:rFonts w:hint="eastAsia"/>
        </w:rPr>
        <w:t>流动性风险指商业银行</w:t>
      </w:r>
      <w:bookmarkStart w:id="0" w:name="OLE_LINK1"/>
      <w:bookmarkStart w:id="1" w:name="OLE_LINK2"/>
      <w:r w:rsidR="00B60CB1">
        <w:rPr>
          <w:rFonts w:hint="eastAsia"/>
        </w:rPr>
        <w:t>虽然有清偿能力，但无法及时获得充足资金或者无法以合理成本及时获得充足资金以应对资产增长或支付到期债务的风险</w:t>
      </w:r>
      <w:bookmarkEnd w:id="0"/>
      <w:bookmarkEnd w:id="1"/>
      <w:r w:rsidR="00B60CB1">
        <w:rPr>
          <w:rFonts w:hint="eastAsia"/>
        </w:rPr>
        <w:t>。</w:t>
      </w:r>
      <w:r w:rsidR="00655FAE">
        <w:rPr>
          <w:rFonts w:hint="eastAsia"/>
        </w:rPr>
        <w:t>由于银行的</w:t>
      </w:r>
      <w:r w:rsidR="009D6E4E">
        <w:rPr>
          <w:rFonts w:hint="eastAsia"/>
        </w:rPr>
        <w:t>盈利</w:t>
      </w:r>
      <w:r w:rsidR="00655FAE">
        <w:rPr>
          <w:rFonts w:hint="eastAsia"/>
        </w:rPr>
        <w:t>本身就需要一定的期限错配，即资金来源短期化，资金运用长期化。</w:t>
      </w:r>
      <w:r w:rsidR="00251409">
        <w:rPr>
          <w:rFonts w:hint="eastAsia"/>
        </w:rPr>
        <w:t>但是，期限错配的前提是短期负债到期后可以续借，一旦负债不能续借或者利率大幅上行，就会产生流动性风险或者利率倒挂。</w:t>
      </w:r>
    </w:p>
    <w:p w14:paraId="7528934E" w14:textId="1C4C895F" w:rsidR="002639A4" w:rsidRDefault="002639A4" w:rsidP="002639A4">
      <w:pPr>
        <w:pStyle w:val="a7"/>
        <w:numPr>
          <w:ilvl w:val="1"/>
          <w:numId w:val="2"/>
        </w:numPr>
        <w:ind w:firstLineChars="0"/>
      </w:pPr>
      <w:r>
        <w:rPr>
          <w:rFonts w:hint="eastAsia"/>
        </w:rPr>
        <w:t>周期性：显然，银行的盈利能力与资产质量息息相关，，而且银行本身又是一个高杠杆的行业，</w:t>
      </w:r>
      <w:r w:rsidR="00477600">
        <w:rPr>
          <w:rFonts w:hint="eastAsia"/>
        </w:rPr>
        <w:t>杠杆</w:t>
      </w:r>
      <w:r w:rsidR="00F56208">
        <w:rPr>
          <w:rFonts w:hint="eastAsia"/>
        </w:rPr>
        <w:t>大幅</w:t>
      </w:r>
      <w:r w:rsidR="00CF52DA">
        <w:rPr>
          <w:rFonts w:hint="eastAsia"/>
        </w:rPr>
        <w:t>放大</w:t>
      </w:r>
      <w:r w:rsidR="00F56208">
        <w:rPr>
          <w:rFonts w:hint="eastAsia"/>
        </w:rPr>
        <w:t>了银行业的波动性</w:t>
      </w:r>
      <w:r w:rsidR="00030C1E">
        <w:rPr>
          <w:rFonts w:hint="eastAsia"/>
        </w:rPr>
        <w:t>。</w:t>
      </w:r>
      <w:r w:rsidR="005D4D82">
        <w:rPr>
          <w:rFonts w:hint="eastAsia"/>
        </w:rPr>
        <w:t>然而，俗话说“万物皆周期”，银行其实并不算一个强周期性的行业，</w:t>
      </w:r>
      <w:r w:rsidR="00634763">
        <w:rPr>
          <w:rFonts w:hint="eastAsia"/>
        </w:rPr>
        <w:t>而且目前中国仍处于一个经济腾飞的阶段</w:t>
      </w:r>
      <w:r w:rsidR="00555B04">
        <w:rPr>
          <w:rFonts w:hint="eastAsia"/>
        </w:rPr>
        <w:t>，银行的周期性被政府的宏观调控手段削弱</w:t>
      </w:r>
      <w:r w:rsidR="008A3AC8">
        <w:rPr>
          <w:rFonts w:hint="eastAsia"/>
        </w:rPr>
        <w:t>。</w:t>
      </w:r>
      <w:r w:rsidR="00272948">
        <w:rPr>
          <w:rFonts w:hint="eastAsia"/>
        </w:rPr>
        <w:t>其周期性主要由以下因素所致：</w:t>
      </w:r>
    </w:p>
    <w:p w14:paraId="3F3EB67D" w14:textId="0327CA8D" w:rsidR="00272948" w:rsidRDefault="00272948" w:rsidP="00272948">
      <w:pPr>
        <w:pStyle w:val="a7"/>
        <w:numPr>
          <w:ilvl w:val="2"/>
          <w:numId w:val="2"/>
        </w:numPr>
        <w:ind w:firstLineChars="0"/>
      </w:pPr>
      <w:r>
        <w:rPr>
          <w:rFonts w:hint="eastAsia"/>
        </w:rPr>
        <w:t>内因：</w:t>
      </w:r>
    </w:p>
    <w:p w14:paraId="084469A9" w14:textId="77777777" w:rsidR="00272948" w:rsidRDefault="00272948" w:rsidP="00272948">
      <w:pPr>
        <w:pStyle w:val="a7"/>
        <w:numPr>
          <w:ilvl w:val="3"/>
          <w:numId w:val="2"/>
        </w:numPr>
        <w:ind w:firstLineChars="0"/>
        <w:jc w:val="left"/>
      </w:pPr>
      <w:r>
        <w:rPr>
          <w:rFonts w:hint="eastAsia"/>
        </w:rPr>
        <w:t>银行的信贷投放具有顺周期倾向。在经济景气周期内，企业情绪相对乐观，风险承受意愿较强，市场上对贷款的需求扩张。</w:t>
      </w:r>
    </w:p>
    <w:p w14:paraId="439637A2" w14:textId="77777777" w:rsidR="00272948" w:rsidRDefault="00272948" w:rsidP="00272948">
      <w:pPr>
        <w:pStyle w:val="a7"/>
        <w:numPr>
          <w:ilvl w:val="3"/>
          <w:numId w:val="2"/>
        </w:numPr>
        <w:ind w:firstLineChars="0"/>
        <w:jc w:val="left"/>
      </w:pPr>
      <w:r>
        <w:rPr>
          <w:rFonts w:hint="eastAsia"/>
        </w:rPr>
        <w:t>银行的信用风险具有顺周期倾向。在经济景气周期内，企业的信贷质量好，银行的不良率低。</w:t>
      </w:r>
    </w:p>
    <w:p w14:paraId="46E34D56" w14:textId="2B16E77D" w:rsidR="00272948" w:rsidRDefault="00272948" w:rsidP="00272948">
      <w:pPr>
        <w:pStyle w:val="a7"/>
        <w:numPr>
          <w:ilvl w:val="3"/>
          <w:numId w:val="2"/>
        </w:numPr>
        <w:ind w:firstLineChars="0"/>
        <w:jc w:val="left"/>
      </w:pPr>
      <w:r>
        <w:rPr>
          <w:rFonts w:hint="eastAsia"/>
        </w:rPr>
        <w:t>银行的抵押品价格具有顺周期倾向。经济的繁荣与否直接决定资产价格的水准。</w:t>
      </w:r>
    </w:p>
    <w:p w14:paraId="766C1FE0" w14:textId="77777777" w:rsidR="00350705" w:rsidRDefault="00350705" w:rsidP="00350705">
      <w:pPr>
        <w:pStyle w:val="a7"/>
        <w:numPr>
          <w:ilvl w:val="2"/>
          <w:numId w:val="2"/>
        </w:numPr>
        <w:ind w:firstLineChars="0"/>
        <w:jc w:val="left"/>
      </w:pPr>
      <w:r>
        <w:rPr>
          <w:rFonts w:hint="eastAsia"/>
        </w:rPr>
        <w:t>外因：</w:t>
      </w:r>
    </w:p>
    <w:p w14:paraId="519CD1F1" w14:textId="2DB9B121" w:rsidR="0024152A" w:rsidRDefault="00350705" w:rsidP="0024152A">
      <w:pPr>
        <w:pStyle w:val="a7"/>
        <w:numPr>
          <w:ilvl w:val="3"/>
          <w:numId w:val="2"/>
        </w:numPr>
        <w:ind w:firstLineChars="0"/>
        <w:jc w:val="left"/>
      </w:pPr>
      <w:r>
        <w:rPr>
          <w:rFonts w:hint="eastAsia"/>
        </w:rPr>
        <w:t>监管因素。“核心资本充足率”指标在一定程度上加剧了银行的顺周期倾向。在经济衰退期，银行的净利润甚至为负，银行内生性资本补充能力下降。</w:t>
      </w:r>
    </w:p>
    <w:p w14:paraId="47CD0379" w14:textId="4B26CEEB" w:rsidR="000F5EF2" w:rsidRDefault="000F5EF2" w:rsidP="000F5EF2">
      <w:pPr>
        <w:pStyle w:val="a7"/>
        <w:numPr>
          <w:ilvl w:val="0"/>
          <w:numId w:val="2"/>
        </w:numPr>
        <w:ind w:firstLineChars="0"/>
        <w:jc w:val="left"/>
      </w:pPr>
      <w:r>
        <w:rPr>
          <w:rFonts w:hint="eastAsia"/>
        </w:rPr>
        <w:lastRenderedPageBreak/>
        <w:t>营收分析</w:t>
      </w:r>
    </w:p>
    <w:p w14:paraId="2ADCF0A7" w14:textId="107DCB7D" w:rsidR="00271B7D" w:rsidRDefault="00271B7D" w:rsidP="00271B7D">
      <w:pPr>
        <w:pStyle w:val="a7"/>
        <w:ind w:left="360" w:firstLineChars="0" w:firstLine="0"/>
        <w:jc w:val="left"/>
      </w:pPr>
      <w:r>
        <w:rPr>
          <w:noProof/>
        </w:rPr>
        <w:drawing>
          <wp:inline distT="0" distB="0" distL="0" distR="0" wp14:anchorId="340DBE83" wp14:editId="4DF625FC">
            <wp:extent cx="4572000" cy="2743200"/>
            <wp:effectExtent l="0" t="0" r="0" b="0"/>
            <wp:docPr id="5" name="图表 5">
              <a:extLst xmlns:a="http://schemas.openxmlformats.org/drawingml/2006/main">
                <a:ext uri="{FF2B5EF4-FFF2-40B4-BE49-F238E27FC236}">
                  <a16:creationId xmlns:a16="http://schemas.microsoft.com/office/drawing/2014/main" id="{A01BC21B-BD94-465A-B00E-3151E76CB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F44543" w14:textId="553EE63D" w:rsidR="00C57786" w:rsidRDefault="00C57786" w:rsidP="00271B7D">
      <w:pPr>
        <w:pStyle w:val="a7"/>
        <w:ind w:left="360" w:firstLineChars="0" w:firstLine="0"/>
        <w:jc w:val="left"/>
      </w:pPr>
      <w:r>
        <w:rPr>
          <w:rFonts w:hint="eastAsia"/>
        </w:rPr>
        <w:t>从上述图中可以看到，招商银行的营业收入是逐年上升的，而反观兴业银行，</w:t>
      </w:r>
      <w:r w:rsidR="004B72D0">
        <w:rPr>
          <w:rFonts w:hint="eastAsia"/>
        </w:rPr>
        <w:t>在2</w:t>
      </w:r>
      <w:r w:rsidR="004B72D0">
        <w:t>016</w:t>
      </w:r>
      <w:r w:rsidR="004B72D0">
        <w:rPr>
          <w:rFonts w:hint="eastAsia"/>
        </w:rPr>
        <w:t>年到2</w:t>
      </w:r>
      <w:r w:rsidR="004B72D0">
        <w:t>017</w:t>
      </w:r>
      <w:r w:rsidR="004B72D0">
        <w:rPr>
          <w:rFonts w:hint="eastAsia"/>
        </w:rPr>
        <w:t>年甚至出现了营业收入的负增长。</w:t>
      </w:r>
      <w:r w:rsidR="00731A04">
        <w:rPr>
          <w:rFonts w:hint="eastAsia"/>
        </w:rPr>
        <w:t>总体营业收入的增量，招商银行营业收入的CAGR为1</w:t>
      </w:r>
      <w:r w:rsidR="00731A04">
        <w:t>3.07</w:t>
      </w:r>
      <w:r w:rsidR="00731A04">
        <w:rPr>
          <w:rFonts w:hint="eastAsia"/>
        </w:rPr>
        <w:t>%，而兴业银行营业收入的CAGR为1</w:t>
      </w:r>
      <w:r w:rsidR="00731A04">
        <w:t>4.54</w:t>
      </w:r>
      <w:r w:rsidR="00731A04">
        <w:rPr>
          <w:rFonts w:hint="eastAsia"/>
        </w:rPr>
        <w:t>%</w:t>
      </w:r>
      <w:r w:rsidR="002D16F8">
        <w:rPr>
          <w:rFonts w:hint="eastAsia"/>
        </w:rPr>
        <w:t>，兴业银行</w:t>
      </w:r>
      <w:r w:rsidR="006A39A3">
        <w:rPr>
          <w:rFonts w:hint="eastAsia"/>
        </w:rPr>
        <w:t>稍高一筹。</w:t>
      </w:r>
    </w:p>
    <w:p w14:paraId="69139763" w14:textId="658B2C00" w:rsidR="00B371AD" w:rsidRDefault="00B371AD" w:rsidP="00271B7D">
      <w:pPr>
        <w:pStyle w:val="a7"/>
        <w:ind w:left="360" w:firstLineChars="0" w:firstLine="0"/>
        <w:jc w:val="left"/>
      </w:pPr>
      <w:r>
        <w:rPr>
          <w:noProof/>
        </w:rPr>
        <w:drawing>
          <wp:inline distT="0" distB="0" distL="0" distR="0" wp14:anchorId="04CAF262" wp14:editId="78C1498D">
            <wp:extent cx="4800600" cy="2743200"/>
            <wp:effectExtent l="0" t="0" r="0" b="0"/>
            <wp:docPr id="6" name="图表 6">
              <a:extLst xmlns:a="http://schemas.openxmlformats.org/drawingml/2006/main">
                <a:ext uri="{FF2B5EF4-FFF2-40B4-BE49-F238E27FC236}">
                  <a16:creationId xmlns:a16="http://schemas.microsoft.com/office/drawing/2014/main" id="{7615ADA6-03B4-457F-9DB2-31A25BEC71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23DBFC" w14:textId="576C4AF7" w:rsidR="00B371AD" w:rsidRDefault="007B4D73" w:rsidP="00271B7D">
      <w:pPr>
        <w:pStyle w:val="a7"/>
        <w:ind w:left="360" w:firstLineChars="0" w:firstLine="0"/>
        <w:jc w:val="left"/>
      </w:pPr>
      <w:r>
        <w:rPr>
          <w:rFonts w:hint="eastAsia"/>
        </w:rPr>
        <w:t>通过对比招商银行与兴业银行的净息差，我们可以发现近十年招商银行的净息差在整体趋势上呈下行趋势，但仍然始终高于兴业银行。</w:t>
      </w:r>
      <w:r w:rsidR="00F54F8F">
        <w:rPr>
          <w:rFonts w:hint="eastAsia"/>
        </w:rPr>
        <w:t>净息差整体趋势下降的主要因素，我认为是我国经济的减速换挡。</w:t>
      </w:r>
      <w:r w:rsidR="00091EC4">
        <w:rPr>
          <w:rFonts w:hint="eastAsia"/>
        </w:rPr>
        <w:t>随着我国GDP增速的下降，我国将逐渐步入低利率时代，银行业的净息差可能也难以维持。</w:t>
      </w:r>
      <w:r w:rsidR="00835FBA">
        <w:rPr>
          <w:rFonts w:hint="eastAsia"/>
        </w:rPr>
        <w:t>我们分别从生息资产与计息负债两方面去</w:t>
      </w:r>
      <w:r w:rsidR="00A123AF">
        <w:rPr>
          <w:rFonts w:hint="eastAsia"/>
        </w:rPr>
        <w:t>研究为什么招商银行的净息差高于兴业银行。与此同时，我们也该意识到</w:t>
      </w:r>
      <w:r w:rsidR="00114BF0">
        <w:rPr>
          <w:rFonts w:hint="eastAsia"/>
        </w:rPr>
        <w:t>一家银行的净息差高并不一定意味着这家银行更加优秀，很多</w:t>
      </w:r>
      <w:r w:rsidR="00335C0B">
        <w:rPr>
          <w:rFonts w:hint="eastAsia"/>
        </w:rPr>
        <w:t>银行会采取风险定价的方法以高收益率去覆盖潜在的高风险。我们应该更加关注银行在达到当前净息差的时候冒着多大的风险。</w:t>
      </w:r>
    </w:p>
    <w:p w14:paraId="7084BA79" w14:textId="54F80146" w:rsidR="00BD77AC" w:rsidRDefault="00BD77AC" w:rsidP="00271B7D">
      <w:pPr>
        <w:pStyle w:val="a7"/>
        <w:ind w:left="360" w:firstLineChars="0" w:firstLine="0"/>
        <w:jc w:val="left"/>
      </w:pPr>
      <w:r>
        <w:rPr>
          <w:noProof/>
        </w:rPr>
        <w:lastRenderedPageBreak/>
        <w:drawing>
          <wp:inline distT="0" distB="0" distL="0" distR="0" wp14:anchorId="4BBE1F7B" wp14:editId="57CA982F">
            <wp:extent cx="4572000" cy="2743200"/>
            <wp:effectExtent l="0" t="0" r="0" b="0"/>
            <wp:docPr id="7" name="图表 7">
              <a:extLst xmlns:a="http://schemas.openxmlformats.org/drawingml/2006/main">
                <a:ext uri="{FF2B5EF4-FFF2-40B4-BE49-F238E27FC236}">
                  <a16:creationId xmlns:a16="http://schemas.microsoft.com/office/drawing/2014/main" id="{C8F4BF6A-8130-4849-9151-71B06AB5D0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55B16C" w14:textId="2CE4547A" w:rsidR="00BD77AC" w:rsidRDefault="00BD77AC" w:rsidP="00271B7D">
      <w:pPr>
        <w:pStyle w:val="a7"/>
        <w:ind w:left="360" w:firstLineChars="0" w:firstLine="0"/>
        <w:jc w:val="left"/>
      </w:pPr>
      <w:r>
        <w:rPr>
          <w:rFonts w:hint="eastAsia"/>
        </w:rPr>
        <w:t>从上图我们可以看出，近8年兴业银行的生息资产平均收益率</w:t>
      </w:r>
      <w:r w:rsidR="00EC0F14">
        <w:rPr>
          <w:rFonts w:hint="eastAsia"/>
        </w:rPr>
        <w:t>竟然</w:t>
      </w:r>
      <w:r>
        <w:rPr>
          <w:rFonts w:hint="eastAsia"/>
        </w:rPr>
        <w:t>始终高于招商银行，不过近五年来二者的差值非常小。</w:t>
      </w:r>
      <w:r w:rsidR="001C646E">
        <w:rPr>
          <w:rFonts w:hint="eastAsia"/>
        </w:rPr>
        <w:t>我们接下来</w:t>
      </w:r>
      <w:r w:rsidR="000C6EA7">
        <w:rPr>
          <w:rFonts w:hint="eastAsia"/>
        </w:rPr>
        <w:t>再从生息资产结构和单项收益率两方面的角度去分析</w:t>
      </w:r>
      <w:r w:rsidR="003B2954">
        <w:rPr>
          <w:rFonts w:hint="eastAsia"/>
        </w:rPr>
        <w:t>两家银行资产的盈利能力。</w:t>
      </w:r>
    </w:p>
    <w:p w14:paraId="4E89887D" w14:textId="65F4CA4A" w:rsidR="00624E54" w:rsidRDefault="00624E54" w:rsidP="00271B7D">
      <w:pPr>
        <w:pStyle w:val="a7"/>
        <w:ind w:left="360" w:firstLineChars="0" w:firstLine="0"/>
        <w:jc w:val="left"/>
      </w:pPr>
      <w:r>
        <w:rPr>
          <w:noProof/>
        </w:rPr>
        <w:drawing>
          <wp:inline distT="0" distB="0" distL="0" distR="0" wp14:anchorId="2E179FA5" wp14:editId="4342BD46">
            <wp:extent cx="4503420" cy="2682240"/>
            <wp:effectExtent l="0" t="0" r="11430" b="3810"/>
            <wp:docPr id="8" name="图表 8">
              <a:extLst xmlns:a="http://schemas.openxmlformats.org/drawingml/2006/main">
                <a:ext uri="{FF2B5EF4-FFF2-40B4-BE49-F238E27FC236}">
                  <a16:creationId xmlns:a16="http://schemas.microsoft.com/office/drawing/2014/main" id="{F3C27B1D-B484-4306-A739-342F9DD25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01678C" w14:textId="747E0998" w:rsidR="00624E54" w:rsidRDefault="00624E54" w:rsidP="00271B7D">
      <w:pPr>
        <w:pStyle w:val="a7"/>
        <w:ind w:left="360" w:firstLineChars="0" w:firstLine="0"/>
        <w:jc w:val="left"/>
      </w:pPr>
      <w:r>
        <w:rPr>
          <w:noProof/>
        </w:rPr>
        <w:drawing>
          <wp:inline distT="0" distB="0" distL="0" distR="0" wp14:anchorId="0A716C91" wp14:editId="7263ED16">
            <wp:extent cx="4503420" cy="2590800"/>
            <wp:effectExtent l="0" t="0" r="11430" b="0"/>
            <wp:docPr id="9" name="图表 9">
              <a:extLst xmlns:a="http://schemas.openxmlformats.org/drawingml/2006/main">
                <a:ext uri="{FF2B5EF4-FFF2-40B4-BE49-F238E27FC236}">
                  <a16:creationId xmlns:a16="http://schemas.microsoft.com/office/drawing/2014/main" id="{2520B923-FE56-4DC1-9539-9059332D2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242FCEA" w14:textId="61D7F3B6" w:rsidR="00A73900" w:rsidRDefault="00A73900" w:rsidP="00271B7D">
      <w:pPr>
        <w:pStyle w:val="a7"/>
        <w:ind w:left="360" w:firstLineChars="0" w:firstLine="0"/>
        <w:jc w:val="left"/>
      </w:pPr>
      <w:r>
        <w:rPr>
          <w:rFonts w:hint="eastAsia"/>
        </w:rPr>
        <w:lastRenderedPageBreak/>
        <w:t>从上面两张图可以看出，</w:t>
      </w:r>
      <w:r w:rsidR="00B70FE4">
        <w:rPr>
          <w:rFonts w:hint="eastAsia"/>
        </w:rPr>
        <w:t>招商银行与兴业银行的</w:t>
      </w:r>
      <w:r w:rsidR="00D121BB">
        <w:rPr>
          <w:rFonts w:hint="eastAsia"/>
        </w:rPr>
        <w:t>存放央行款项和存放同业及其他金融机构款项</w:t>
      </w:r>
      <w:r w:rsidR="00231943">
        <w:rPr>
          <w:rFonts w:hint="eastAsia"/>
        </w:rPr>
        <w:t>均占比很小，这是因为这两种资产的收益率相对较低，大多数情况为不得已才去配置的资产。</w:t>
      </w:r>
      <w:r w:rsidR="000B536E">
        <w:rPr>
          <w:rFonts w:hint="eastAsia"/>
        </w:rPr>
        <w:t>而占生息资产大头的投资以及贷款</w:t>
      </w:r>
      <w:r w:rsidR="00A87166">
        <w:rPr>
          <w:rFonts w:hint="eastAsia"/>
        </w:rPr>
        <w:t>两项，招商银行以及兴业银行则有着明显的差异。</w:t>
      </w:r>
      <w:r w:rsidR="00767C0B">
        <w:rPr>
          <w:rFonts w:hint="eastAsia"/>
        </w:rPr>
        <w:t>招商银行的贷款占比逐年走高而投资则始终维持在2</w:t>
      </w:r>
      <w:r w:rsidR="00767C0B">
        <w:t>0</w:t>
      </w:r>
      <w:r w:rsidR="00767C0B">
        <w:rPr>
          <w:rFonts w:hint="eastAsia"/>
        </w:rPr>
        <w:t>%</w:t>
      </w:r>
      <w:r w:rsidR="00985068">
        <w:rPr>
          <w:rFonts w:hint="eastAsia"/>
        </w:rPr>
        <w:t>左右</w:t>
      </w:r>
      <w:r w:rsidR="00022A98">
        <w:rPr>
          <w:rFonts w:hint="eastAsia"/>
        </w:rPr>
        <w:t>，而兴业银行的投资占比明显高于招商银行。不过</w:t>
      </w:r>
      <w:r w:rsidR="00A460C9">
        <w:rPr>
          <w:rFonts w:hint="eastAsia"/>
        </w:rPr>
        <w:t>我们</w:t>
      </w:r>
      <w:r w:rsidR="00022A98">
        <w:rPr>
          <w:rFonts w:hint="eastAsia"/>
        </w:rPr>
        <w:t>可以看到兴业银行投资占比连年走低、贷款占比连年走高</w:t>
      </w:r>
      <w:r w:rsidR="00537DAD">
        <w:rPr>
          <w:rFonts w:hint="eastAsia"/>
        </w:rPr>
        <w:t>，这应该是兴业银行的资产配置发生了战略性的变化。</w:t>
      </w:r>
      <w:r w:rsidR="00BC40AD">
        <w:rPr>
          <w:rFonts w:hint="eastAsia"/>
        </w:rPr>
        <w:t>我们再去对比两个银行的贷款收益率以及</w:t>
      </w:r>
      <w:r w:rsidR="000D7319">
        <w:rPr>
          <w:rFonts w:hint="eastAsia"/>
        </w:rPr>
        <w:t>投资收益率。</w:t>
      </w:r>
    </w:p>
    <w:p w14:paraId="34AD7365" w14:textId="71974F08" w:rsidR="00F865C1" w:rsidRDefault="00F865C1" w:rsidP="00271B7D">
      <w:pPr>
        <w:pStyle w:val="a7"/>
        <w:ind w:left="360" w:firstLineChars="0" w:firstLine="0"/>
        <w:jc w:val="left"/>
      </w:pPr>
      <w:r>
        <w:rPr>
          <w:noProof/>
        </w:rPr>
        <w:drawing>
          <wp:inline distT="0" distB="0" distL="0" distR="0" wp14:anchorId="59A56935" wp14:editId="62C8188F">
            <wp:extent cx="4572000" cy="2743200"/>
            <wp:effectExtent l="0" t="0" r="0" b="0"/>
            <wp:docPr id="10" name="图表 10">
              <a:extLst xmlns:a="http://schemas.openxmlformats.org/drawingml/2006/main">
                <a:ext uri="{FF2B5EF4-FFF2-40B4-BE49-F238E27FC236}">
                  <a16:creationId xmlns:a16="http://schemas.microsoft.com/office/drawing/2014/main" id="{BF2BBBB7-D796-4119-9CA3-418CB46559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BFDF4A" w14:textId="52A401F2" w:rsidR="00F865C1" w:rsidRDefault="00F865C1" w:rsidP="00271B7D">
      <w:pPr>
        <w:pStyle w:val="a7"/>
        <w:ind w:left="360" w:firstLineChars="0" w:firstLine="0"/>
        <w:jc w:val="left"/>
      </w:pPr>
      <w:r>
        <w:rPr>
          <w:noProof/>
        </w:rPr>
        <w:drawing>
          <wp:inline distT="0" distB="0" distL="0" distR="0" wp14:anchorId="538F5B3D" wp14:editId="31632301">
            <wp:extent cx="4572000" cy="2743200"/>
            <wp:effectExtent l="0" t="0" r="0" b="0"/>
            <wp:docPr id="11" name="图表 11">
              <a:extLst xmlns:a="http://schemas.openxmlformats.org/drawingml/2006/main">
                <a:ext uri="{FF2B5EF4-FFF2-40B4-BE49-F238E27FC236}">
                  <a16:creationId xmlns:a16="http://schemas.microsoft.com/office/drawing/2014/main" id="{BA68B284-3DBA-42EC-9FA1-92C8A9F96C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EB8251" w14:textId="74785C54" w:rsidR="005C0A6B" w:rsidRDefault="005C0A6B" w:rsidP="00271B7D">
      <w:pPr>
        <w:pStyle w:val="a7"/>
        <w:ind w:left="360" w:firstLineChars="0" w:firstLine="0"/>
        <w:jc w:val="left"/>
      </w:pPr>
      <w:r>
        <w:rPr>
          <w:rFonts w:hint="eastAsia"/>
        </w:rPr>
        <w:t>从上面两张图可以看到，招商银行与兴业银行贷款平均收益率的走势相同，但是兴业银行2</w:t>
      </w:r>
      <w:r>
        <w:t>018</w:t>
      </w:r>
      <w:r>
        <w:rPr>
          <w:rFonts w:hint="eastAsia"/>
        </w:rPr>
        <w:t>年到2</w:t>
      </w:r>
      <w:r>
        <w:t>019</w:t>
      </w:r>
      <w:r>
        <w:rPr>
          <w:rFonts w:hint="eastAsia"/>
        </w:rPr>
        <w:t>年贷款收益率出现了非常夸张的飙升，</w:t>
      </w:r>
      <w:r w:rsidR="00A26730">
        <w:rPr>
          <w:rFonts w:hint="eastAsia"/>
        </w:rPr>
        <w:t>涨了接近8</w:t>
      </w:r>
      <w:r w:rsidR="00A26730">
        <w:t>0</w:t>
      </w:r>
      <w:r w:rsidR="00A26730">
        <w:rPr>
          <w:rFonts w:hint="eastAsia"/>
        </w:rPr>
        <w:t>个基点</w:t>
      </w:r>
      <w:r w:rsidR="00394A3F">
        <w:rPr>
          <w:rFonts w:hint="eastAsia"/>
        </w:rPr>
        <w:t>，是否是通过了风险定价放宽了贷款质量还需要更近一步的考量。</w:t>
      </w:r>
      <w:r w:rsidR="00831CB1">
        <w:rPr>
          <w:rFonts w:hint="eastAsia"/>
        </w:rPr>
        <w:t>包括投资收益率也是如此，很难同时兼顾</w:t>
      </w:r>
      <w:r w:rsidR="00563169">
        <w:rPr>
          <w:rFonts w:hint="eastAsia"/>
        </w:rPr>
        <w:t>高收益与低风险，</w:t>
      </w:r>
      <w:r w:rsidR="00CF1B11">
        <w:rPr>
          <w:rFonts w:hint="eastAsia"/>
        </w:rPr>
        <w:t>因为银行是一个利润前置风险后置的行业，所以</w:t>
      </w:r>
      <w:r w:rsidR="008927E7">
        <w:rPr>
          <w:rFonts w:hint="eastAsia"/>
        </w:rPr>
        <w:t>还需要结合不良的变化</w:t>
      </w:r>
      <w:r w:rsidR="00CF1B11">
        <w:rPr>
          <w:rFonts w:hint="eastAsia"/>
        </w:rPr>
        <w:t>去判断资产的收益率</w:t>
      </w:r>
      <w:r w:rsidR="00B275A7">
        <w:rPr>
          <w:rFonts w:hint="eastAsia"/>
        </w:rPr>
        <w:t>高低。</w:t>
      </w:r>
      <w:r w:rsidR="001E6403">
        <w:rPr>
          <w:rFonts w:hint="eastAsia"/>
        </w:rPr>
        <w:t>我们再去研究一下两家银行的贷款结构。</w:t>
      </w:r>
    </w:p>
    <w:p w14:paraId="487AE63F" w14:textId="725D2B52" w:rsidR="000F34E2" w:rsidRDefault="00106CE1" w:rsidP="00271B7D">
      <w:pPr>
        <w:pStyle w:val="a7"/>
        <w:ind w:left="360" w:firstLineChars="0" w:firstLine="0"/>
        <w:jc w:val="left"/>
      </w:pPr>
      <w:r>
        <w:rPr>
          <w:noProof/>
        </w:rPr>
        <w:lastRenderedPageBreak/>
        <w:drawing>
          <wp:inline distT="0" distB="0" distL="0" distR="0" wp14:anchorId="2B4C56A1" wp14:editId="2AA428AB">
            <wp:extent cx="4572000" cy="2743200"/>
            <wp:effectExtent l="0" t="0" r="0" b="0"/>
            <wp:docPr id="12" name="图表 12">
              <a:extLst xmlns:a="http://schemas.openxmlformats.org/drawingml/2006/main">
                <a:ext uri="{FF2B5EF4-FFF2-40B4-BE49-F238E27FC236}">
                  <a16:creationId xmlns:a16="http://schemas.microsoft.com/office/drawing/2014/main" id="{F39BD3AB-E205-4B94-A911-146C724A88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B53E82A" w14:textId="5B1AC442" w:rsidR="00106CE1" w:rsidRDefault="00106CE1" w:rsidP="00271B7D">
      <w:pPr>
        <w:pStyle w:val="a7"/>
        <w:ind w:left="360" w:firstLineChars="0" w:firstLine="0"/>
        <w:jc w:val="left"/>
      </w:pPr>
      <w:r>
        <w:rPr>
          <w:noProof/>
        </w:rPr>
        <w:drawing>
          <wp:inline distT="0" distB="0" distL="0" distR="0" wp14:anchorId="2949080C" wp14:editId="71C69025">
            <wp:extent cx="4572000" cy="2743200"/>
            <wp:effectExtent l="0" t="0" r="0" b="0"/>
            <wp:docPr id="13" name="图表 13">
              <a:extLst xmlns:a="http://schemas.openxmlformats.org/drawingml/2006/main">
                <a:ext uri="{FF2B5EF4-FFF2-40B4-BE49-F238E27FC236}">
                  <a16:creationId xmlns:a16="http://schemas.microsoft.com/office/drawing/2014/main" id="{6F3752B2-D78C-437E-A3B4-197A5FC01B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E80719" w14:textId="342E5317" w:rsidR="00E9051D" w:rsidRDefault="00E9051D" w:rsidP="00271B7D">
      <w:pPr>
        <w:pStyle w:val="a7"/>
        <w:ind w:left="360" w:firstLineChars="0" w:firstLine="0"/>
        <w:jc w:val="left"/>
      </w:pPr>
      <w:r>
        <w:rPr>
          <w:rFonts w:hint="eastAsia"/>
        </w:rPr>
        <w:t>从上面两张图可以看出，招商银行的零售贷款占比更高，而兴业银行的对公贷款占比更高，但两家银行近五年来</w:t>
      </w:r>
      <w:r w:rsidR="0095598E">
        <w:rPr>
          <w:rFonts w:hint="eastAsia"/>
        </w:rPr>
        <w:t>零售占比均小幅走高，对公占比均小幅下降。</w:t>
      </w:r>
    </w:p>
    <w:p w14:paraId="70366B06" w14:textId="72FE4CA7" w:rsidR="007743F4" w:rsidRDefault="007743F4" w:rsidP="00271B7D">
      <w:pPr>
        <w:pStyle w:val="a7"/>
        <w:ind w:left="360" w:firstLineChars="0" w:firstLine="0"/>
        <w:jc w:val="left"/>
      </w:pPr>
      <w:r>
        <w:rPr>
          <w:noProof/>
        </w:rPr>
        <w:drawing>
          <wp:inline distT="0" distB="0" distL="0" distR="0" wp14:anchorId="08895ABC" wp14:editId="186AA34F">
            <wp:extent cx="4572000" cy="2743200"/>
            <wp:effectExtent l="0" t="0" r="0" b="0"/>
            <wp:docPr id="14" name="图表 14">
              <a:extLst xmlns:a="http://schemas.openxmlformats.org/drawingml/2006/main">
                <a:ext uri="{FF2B5EF4-FFF2-40B4-BE49-F238E27FC236}">
                  <a16:creationId xmlns:a16="http://schemas.microsoft.com/office/drawing/2014/main" id="{91903E53-913F-4AB7-A4F6-9677E2B5C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0CF8EA4" w14:textId="4EB0D076" w:rsidR="007743F4" w:rsidRDefault="00C1374C" w:rsidP="00271B7D">
      <w:pPr>
        <w:pStyle w:val="a7"/>
        <w:ind w:left="360" w:firstLineChars="0" w:firstLine="0"/>
        <w:jc w:val="left"/>
      </w:pPr>
      <w:r>
        <w:rPr>
          <w:noProof/>
        </w:rPr>
        <w:lastRenderedPageBreak/>
        <w:drawing>
          <wp:inline distT="0" distB="0" distL="0" distR="0" wp14:anchorId="2364E0C8" wp14:editId="7010199E">
            <wp:extent cx="4572000" cy="2743200"/>
            <wp:effectExtent l="0" t="0" r="0" b="0"/>
            <wp:docPr id="15" name="图表 15">
              <a:extLst xmlns:a="http://schemas.openxmlformats.org/drawingml/2006/main">
                <a:ext uri="{FF2B5EF4-FFF2-40B4-BE49-F238E27FC236}">
                  <a16:creationId xmlns:a16="http://schemas.microsoft.com/office/drawing/2014/main" id="{D5C1F1A6-3087-4F84-B0EC-BAC3A15DE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03A28AA" w14:textId="2D70C8B1" w:rsidR="00C1374C" w:rsidRDefault="00C1374C" w:rsidP="00271B7D">
      <w:pPr>
        <w:pStyle w:val="a7"/>
        <w:ind w:left="360" w:firstLineChars="0" w:firstLine="0"/>
        <w:jc w:val="left"/>
      </w:pPr>
      <w:r>
        <w:rPr>
          <w:rFonts w:hint="eastAsia"/>
        </w:rPr>
        <w:t>再来看看二者零售贷款收益率与对公贷款收益率的变化</w:t>
      </w:r>
      <w:r w:rsidR="00956E23">
        <w:rPr>
          <w:rFonts w:hint="eastAsia"/>
        </w:rPr>
        <w:t>，可以看到</w:t>
      </w:r>
      <w:r w:rsidR="0078075F">
        <w:rPr>
          <w:rFonts w:hint="eastAsia"/>
        </w:rPr>
        <w:t>二者的对公贷款收益率走势大致相同，兴业银行的收益率高出一筹。与此同时，</w:t>
      </w:r>
      <w:r w:rsidR="00554CFA">
        <w:rPr>
          <w:rFonts w:hint="eastAsia"/>
        </w:rPr>
        <w:t>兴业银行的零售贷款收益率在2</w:t>
      </w:r>
      <w:r w:rsidR="00554CFA">
        <w:t>019</w:t>
      </w:r>
      <w:r w:rsidR="00554CFA">
        <w:rPr>
          <w:rFonts w:hint="eastAsia"/>
        </w:rPr>
        <w:t>年实现了暴增，这就是前面兴业银行贷款收益率2</w:t>
      </w:r>
      <w:r w:rsidR="00554CFA">
        <w:t>019</w:t>
      </w:r>
      <w:r w:rsidR="00554CFA">
        <w:rPr>
          <w:rFonts w:hint="eastAsia"/>
        </w:rPr>
        <w:t>年大涨的主要原因。</w:t>
      </w:r>
      <w:r w:rsidR="0078075F">
        <w:rPr>
          <w:rFonts w:hint="eastAsia"/>
        </w:rPr>
        <w:t>实际上，</w:t>
      </w:r>
      <w:r w:rsidR="000C07DF">
        <w:rPr>
          <w:rFonts w:hint="eastAsia"/>
        </w:rPr>
        <w:t>这</w:t>
      </w:r>
      <w:r w:rsidR="0078075F">
        <w:rPr>
          <w:rFonts w:hint="eastAsia"/>
        </w:rPr>
        <w:t>是兴业银行在2</w:t>
      </w:r>
      <w:r w:rsidR="0078075F">
        <w:t>019</w:t>
      </w:r>
      <w:r w:rsidR="0078075F">
        <w:rPr>
          <w:rFonts w:hint="eastAsia"/>
        </w:rPr>
        <w:t>年重新将分期手续费计入利息收入所导致的</w:t>
      </w:r>
      <w:r w:rsidR="0011298E">
        <w:rPr>
          <w:rFonts w:hint="eastAsia"/>
        </w:rPr>
        <w:t>。</w:t>
      </w:r>
      <w:r w:rsidR="00ED2DE4">
        <w:rPr>
          <w:rFonts w:hint="eastAsia"/>
        </w:rPr>
        <w:t>还有，我们可以看到零售业务的收益率要高于对公业务的收益率</w:t>
      </w:r>
      <w:r w:rsidR="00072E7C">
        <w:rPr>
          <w:rFonts w:hint="eastAsia"/>
        </w:rPr>
        <w:t>。而且实际上零售业务的风险还要更低</w:t>
      </w:r>
      <w:r w:rsidR="00FB302A">
        <w:rPr>
          <w:rFonts w:hint="eastAsia"/>
        </w:rPr>
        <w:t>，因为</w:t>
      </w:r>
      <w:r w:rsidR="00A9434C">
        <w:rPr>
          <w:rFonts w:hint="eastAsia"/>
        </w:rPr>
        <w:t>我国目前的信用体制逐渐完善，失信人员处处受制，再加上我国没有个人破产保护</w:t>
      </w:r>
      <w:r w:rsidR="00DF3EF1">
        <w:rPr>
          <w:rFonts w:hint="eastAsia"/>
        </w:rPr>
        <w:t>制度，银行对个人债务有无限追索权</w:t>
      </w:r>
      <w:r w:rsidR="002F1C25">
        <w:rPr>
          <w:rFonts w:hint="eastAsia"/>
        </w:rPr>
        <w:t>，所以零售贷款可谓是一块低风险高回报的“肥肉”。</w:t>
      </w:r>
      <w:r w:rsidR="00407811">
        <w:rPr>
          <w:rFonts w:hint="eastAsia"/>
        </w:rPr>
        <w:t>而零售业务的缺点则是由单笔金额较小所导致的</w:t>
      </w:r>
      <w:r w:rsidR="00EC597E">
        <w:rPr>
          <w:rFonts w:hint="eastAsia"/>
        </w:rPr>
        <w:t>尽调成本高</w:t>
      </w:r>
      <w:r w:rsidR="003F722B">
        <w:rPr>
          <w:rFonts w:hint="eastAsia"/>
        </w:rPr>
        <w:t>，再加上其所需要的庞大客户基础</w:t>
      </w:r>
      <w:r w:rsidR="00E62E1C">
        <w:rPr>
          <w:rFonts w:hint="eastAsia"/>
        </w:rPr>
        <w:t>，这不是一朝一夕能解决的问题。</w:t>
      </w:r>
    </w:p>
    <w:p w14:paraId="5ACFF9D4" w14:textId="77777777" w:rsidR="00023629" w:rsidRDefault="00023629" w:rsidP="00271B7D">
      <w:pPr>
        <w:pStyle w:val="a7"/>
        <w:ind w:left="360" w:firstLineChars="0" w:firstLine="0"/>
        <w:jc w:val="left"/>
      </w:pPr>
    </w:p>
    <w:p w14:paraId="51F2CD36" w14:textId="0C370D29" w:rsidR="008404D6" w:rsidRDefault="008404D6" w:rsidP="008404D6">
      <w:pPr>
        <w:pStyle w:val="a7"/>
        <w:numPr>
          <w:ilvl w:val="0"/>
          <w:numId w:val="2"/>
        </w:numPr>
        <w:ind w:firstLineChars="0"/>
        <w:jc w:val="left"/>
      </w:pPr>
      <w:r>
        <w:rPr>
          <w:rFonts w:hint="eastAsia"/>
        </w:rPr>
        <w:t>不良分析</w:t>
      </w:r>
    </w:p>
    <w:p w14:paraId="37009C16" w14:textId="3E572AA5" w:rsidR="00023629" w:rsidRDefault="008E668D" w:rsidP="00023629">
      <w:pPr>
        <w:pStyle w:val="a7"/>
        <w:ind w:left="360" w:firstLineChars="0" w:firstLine="0"/>
        <w:jc w:val="left"/>
      </w:pPr>
      <w:r>
        <w:rPr>
          <w:noProof/>
        </w:rPr>
        <w:drawing>
          <wp:inline distT="0" distB="0" distL="0" distR="0" wp14:anchorId="4C165885" wp14:editId="062F2614">
            <wp:extent cx="4572000" cy="2743200"/>
            <wp:effectExtent l="0" t="0" r="0" b="0"/>
            <wp:docPr id="16" name="图表 16">
              <a:extLst xmlns:a="http://schemas.openxmlformats.org/drawingml/2006/main">
                <a:ext uri="{FF2B5EF4-FFF2-40B4-BE49-F238E27FC236}">
                  <a16:creationId xmlns:a16="http://schemas.microsoft.com/office/drawing/2014/main" id="{6722157A-E633-408B-97CD-6BFFFB1AC8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0BE478" w14:textId="42923CE3" w:rsidR="008E668D" w:rsidRDefault="008E668D" w:rsidP="00023629">
      <w:pPr>
        <w:pStyle w:val="a7"/>
        <w:ind w:left="360" w:firstLineChars="0" w:firstLine="0"/>
        <w:jc w:val="left"/>
      </w:pPr>
      <w:r>
        <w:rPr>
          <w:rFonts w:hint="eastAsia"/>
        </w:rPr>
        <w:t>从上图可以看出近五年来招商银行与兴业银行的不良率都在逐年</w:t>
      </w:r>
      <w:r w:rsidR="00E96B33">
        <w:rPr>
          <w:rFonts w:hint="eastAsia"/>
        </w:rPr>
        <w:t>下降</w:t>
      </w:r>
      <w:r w:rsidR="00BB7401">
        <w:rPr>
          <w:rFonts w:hint="eastAsia"/>
        </w:rPr>
        <w:t>，从表面上看起来招行的不良率似乎更低一些，资产质量看似更好一些。但我们要知道不良率中的不良贷款余额是经过核销等一系列措施调节出来的值，并非是一个原生态的数据</w:t>
      </w:r>
      <w:r w:rsidR="00033D2B">
        <w:rPr>
          <w:rFonts w:hint="eastAsia"/>
        </w:rPr>
        <w:t>，所以不良率的高低只能作为一种参考</w:t>
      </w:r>
      <w:r w:rsidR="00174F83">
        <w:rPr>
          <w:rFonts w:hint="eastAsia"/>
        </w:rPr>
        <w:t>。</w:t>
      </w:r>
    </w:p>
    <w:p w14:paraId="7F36AF19" w14:textId="440A68FC" w:rsidR="00622E0C" w:rsidRDefault="00622E0C" w:rsidP="00023629">
      <w:pPr>
        <w:pStyle w:val="a7"/>
        <w:ind w:left="360" w:firstLineChars="0" w:firstLine="0"/>
        <w:jc w:val="left"/>
      </w:pPr>
      <w:r>
        <w:rPr>
          <w:noProof/>
        </w:rPr>
        <w:lastRenderedPageBreak/>
        <w:drawing>
          <wp:inline distT="0" distB="0" distL="0" distR="0" wp14:anchorId="470E32EB" wp14:editId="59D48D8E">
            <wp:extent cx="4648200" cy="3048000"/>
            <wp:effectExtent l="0" t="0" r="0" b="0"/>
            <wp:docPr id="17" name="图表 17">
              <a:extLst xmlns:a="http://schemas.openxmlformats.org/drawingml/2006/main">
                <a:ext uri="{FF2B5EF4-FFF2-40B4-BE49-F238E27FC236}">
                  <a16:creationId xmlns:a16="http://schemas.microsoft.com/office/drawing/2014/main" id="{8E0E383B-E06A-4108-969D-F59ADFB082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E6A6695" w14:textId="1735807D" w:rsidR="00622E0C" w:rsidRDefault="00622E0C" w:rsidP="00023629">
      <w:pPr>
        <w:pStyle w:val="a7"/>
        <w:ind w:left="360" w:firstLineChars="0" w:firstLine="0"/>
        <w:jc w:val="left"/>
      </w:pPr>
      <w:r>
        <w:rPr>
          <w:noProof/>
        </w:rPr>
        <w:drawing>
          <wp:inline distT="0" distB="0" distL="0" distR="0" wp14:anchorId="648CD681" wp14:editId="4A475495">
            <wp:extent cx="4686300" cy="2758440"/>
            <wp:effectExtent l="0" t="0" r="0" b="3810"/>
            <wp:docPr id="18" name="图表 18">
              <a:extLst xmlns:a="http://schemas.openxmlformats.org/drawingml/2006/main">
                <a:ext uri="{FF2B5EF4-FFF2-40B4-BE49-F238E27FC236}">
                  <a16:creationId xmlns:a16="http://schemas.microsoft.com/office/drawing/2014/main" id="{D35BD438-1AAE-43E2-9B62-F19BB3149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1146D3F" w14:textId="62ADEB3F" w:rsidR="002D0BC2" w:rsidRDefault="00622E0C" w:rsidP="000A2CE1">
      <w:pPr>
        <w:pStyle w:val="a7"/>
        <w:ind w:left="360" w:firstLineChars="0" w:firstLine="0"/>
        <w:jc w:val="left"/>
      </w:pPr>
      <w:r>
        <w:rPr>
          <w:rFonts w:hint="eastAsia"/>
        </w:rPr>
        <w:t>从上面两张图可以看出，不论是对公贷款还是零售贷款，招行的不良率变化都是较为平稳的。需要警惕的是，兴业银行零售贷款不良率的走势在</w:t>
      </w:r>
      <w:r>
        <w:t>2019</w:t>
      </w:r>
      <w:r>
        <w:rPr>
          <w:rFonts w:hint="eastAsia"/>
        </w:rPr>
        <w:t>年和2</w:t>
      </w:r>
      <w:r>
        <w:t>020</w:t>
      </w:r>
      <w:r>
        <w:rPr>
          <w:rFonts w:hint="eastAsia"/>
        </w:rPr>
        <w:t>年尤为奇特。</w:t>
      </w:r>
      <w:r w:rsidR="00842D89">
        <w:rPr>
          <w:rFonts w:hint="eastAsia"/>
        </w:rPr>
        <w:t>2</w:t>
      </w:r>
      <w:r w:rsidR="00842D89">
        <w:t>019</w:t>
      </w:r>
      <w:r w:rsidR="00842D89">
        <w:rPr>
          <w:rFonts w:hint="eastAsia"/>
        </w:rPr>
        <w:t>年的零售贷款不良率的升高或许与前面提到的兴业银行将分期手续费重新划入零售业务有关</w:t>
      </w:r>
      <w:r w:rsidR="002162A6">
        <w:rPr>
          <w:rFonts w:hint="eastAsia"/>
        </w:rPr>
        <w:t>；2</w:t>
      </w:r>
      <w:r w:rsidR="002162A6">
        <w:t>020</w:t>
      </w:r>
      <w:r w:rsidR="002162A6">
        <w:rPr>
          <w:rFonts w:hint="eastAsia"/>
        </w:rPr>
        <w:t>年不良率的上升虽说有疫情的因素在，但横向对比下来可以看出兴业银行的不良率上升远超同业，再结合</w:t>
      </w:r>
      <w:r w:rsidR="00F8326F">
        <w:rPr>
          <w:rFonts w:hint="eastAsia"/>
        </w:rPr>
        <w:t>前面兴业银行2</w:t>
      </w:r>
      <w:r w:rsidR="00F8326F">
        <w:t>020</w:t>
      </w:r>
      <w:r w:rsidR="00F8326F">
        <w:rPr>
          <w:rFonts w:hint="eastAsia"/>
        </w:rPr>
        <w:t>年的零售贷款收益率出现了逆势上涨的情形，可以判断出兴业银行很有可能是在2</w:t>
      </w:r>
      <w:r w:rsidR="00F8326F">
        <w:t>020</w:t>
      </w:r>
      <w:r w:rsidR="00F8326F">
        <w:rPr>
          <w:rFonts w:hint="eastAsia"/>
        </w:rPr>
        <w:t>年放宽了资产的质量，企图以高收益覆盖高风险</w:t>
      </w:r>
      <w:r w:rsidR="0093457E">
        <w:rPr>
          <w:rFonts w:hint="eastAsia"/>
        </w:rPr>
        <w:t>，需要投资者警惕。</w:t>
      </w:r>
      <w:r w:rsidR="002D0BC2">
        <w:rPr>
          <w:rFonts w:hint="eastAsia"/>
        </w:rPr>
        <w:t>为了验证上述推断，我们再进一步去观察两家银行贷款中的大头，个人住房贷款以及信用卡贷款的不良率。</w:t>
      </w:r>
    </w:p>
    <w:p w14:paraId="4ED58329" w14:textId="5DD2D4B6" w:rsidR="00CC7E51" w:rsidRDefault="007E25E4" w:rsidP="00CC7E51">
      <w:pPr>
        <w:pStyle w:val="a7"/>
        <w:ind w:left="360" w:firstLineChars="0" w:firstLine="0"/>
        <w:jc w:val="left"/>
      </w:pPr>
      <w:r>
        <w:rPr>
          <w:noProof/>
        </w:rPr>
        <w:lastRenderedPageBreak/>
        <w:drawing>
          <wp:inline distT="0" distB="0" distL="0" distR="0" wp14:anchorId="108180FF" wp14:editId="0E3E46CF">
            <wp:extent cx="4328160" cy="2522220"/>
            <wp:effectExtent l="0" t="0" r="15240" b="11430"/>
            <wp:docPr id="20" name="图表 20">
              <a:extLst xmlns:a="http://schemas.openxmlformats.org/drawingml/2006/main">
                <a:ext uri="{FF2B5EF4-FFF2-40B4-BE49-F238E27FC236}">
                  <a16:creationId xmlns:a16="http://schemas.microsoft.com/office/drawing/2014/main" id="{9948277E-7308-4D89-AA58-05419BB7B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F155DC7" w14:textId="7AC66482" w:rsidR="00CC7E51" w:rsidRDefault="00CC7E51" w:rsidP="00CC7E51">
      <w:pPr>
        <w:pStyle w:val="a7"/>
        <w:ind w:left="360" w:firstLineChars="0" w:firstLine="0"/>
        <w:jc w:val="left"/>
      </w:pPr>
      <w:r>
        <w:rPr>
          <w:noProof/>
        </w:rPr>
        <w:drawing>
          <wp:inline distT="0" distB="0" distL="0" distR="0" wp14:anchorId="4A3A1269" wp14:editId="2D84A35C">
            <wp:extent cx="4335780" cy="2362200"/>
            <wp:effectExtent l="0" t="0" r="7620" b="0"/>
            <wp:docPr id="22" name="图表 22">
              <a:extLst xmlns:a="http://schemas.openxmlformats.org/drawingml/2006/main">
                <a:ext uri="{FF2B5EF4-FFF2-40B4-BE49-F238E27FC236}">
                  <a16:creationId xmlns:a16="http://schemas.microsoft.com/office/drawing/2014/main" id="{3E8E8ADA-B4D5-4FE8-8D97-78DF3D3F63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EA3C37D" w14:textId="465509FB" w:rsidR="002D0BC2" w:rsidRDefault="007E25E4" w:rsidP="000A2CE1">
      <w:pPr>
        <w:pStyle w:val="a7"/>
        <w:ind w:left="360" w:firstLineChars="0" w:firstLine="0"/>
        <w:jc w:val="left"/>
      </w:pPr>
      <w:r>
        <w:rPr>
          <w:rFonts w:hint="eastAsia"/>
        </w:rPr>
        <w:t>我们可以看到不论是信用卡贷款还是个人住房贷款，其不良率均在2</w:t>
      </w:r>
      <w:r>
        <w:t>020</w:t>
      </w:r>
      <w:r>
        <w:rPr>
          <w:rFonts w:hint="eastAsia"/>
        </w:rPr>
        <w:t>年出现了明显地攀升</w:t>
      </w:r>
      <w:r w:rsidR="00F22631">
        <w:rPr>
          <w:rFonts w:hint="eastAsia"/>
        </w:rPr>
        <w:t>。我们基本可以断兴业银行在2</w:t>
      </w:r>
      <w:r w:rsidR="00F22631">
        <w:t>020</w:t>
      </w:r>
      <w:r w:rsidR="00F22631">
        <w:rPr>
          <w:rFonts w:hint="eastAsia"/>
        </w:rPr>
        <w:t>年</w:t>
      </w:r>
      <w:r w:rsidR="00374CCC">
        <w:rPr>
          <w:rFonts w:hint="eastAsia"/>
        </w:rPr>
        <w:t>对按揭以及信用卡两块业务均施行了客户下沉</w:t>
      </w:r>
      <w:r w:rsidR="00F03BB5">
        <w:rPr>
          <w:rFonts w:hint="eastAsia"/>
        </w:rPr>
        <w:t>，为了追求收益而放松客户资质的把控。</w:t>
      </w:r>
      <w:r w:rsidR="00C06671">
        <w:rPr>
          <w:rFonts w:hint="eastAsia"/>
        </w:rPr>
        <w:t>对于银行这样一个利润前置风险后置的行业而言，我个人认为此举的风险是极大的，作为银行的投资者我更喜欢银行能稳步发展而不是企图一口吃成胖子。</w:t>
      </w:r>
    </w:p>
    <w:p w14:paraId="476CB3C8" w14:textId="0459216B" w:rsidR="00CC7E51" w:rsidRDefault="00CC7E51" w:rsidP="000A2CE1">
      <w:pPr>
        <w:pStyle w:val="a7"/>
        <w:ind w:left="360" w:firstLineChars="0" w:firstLine="0"/>
        <w:jc w:val="left"/>
      </w:pPr>
      <w:r>
        <w:rPr>
          <w:noProof/>
        </w:rPr>
        <w:drawing>
          <wp:inline distT="0" distB="0" distL="0" distR="0" wp14:anchorId="6A63AF01" wp14:editId="547BC1FC">
            <wp:extent cx="4343400" cy="2453640"/>
            <wp:effectExtent l="0" t="0" r="0" b="3810"/>
            <wp:docPr id="19" name="图表 19">
              <a:extLst xmlns:a="http://schemas.openxmlformats.org/drawingml/2006/main">
                <a:ext uri="{FF2B5EF4-FFF2-40B4-BE49-F238E27FC236}">
                  <a16:creationId xmlns:a16="http://schemas.microsoft.com/office/drawing/2014/main" id="{9E49790F-0DA4-447D-9C5D-C60BC226E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1B9300E" w14:textId="1714A2A9" w:rsidR="000A2CE1" w:rsidRDefault="000A2CE1" w:rsidP="000A2CE1">
      <w:pPr>
        <w:pStyle w:val="a7"/>
        <w:ind w:left="360" w:firstLineChars="0" w:firstLine="0"/>
        <w:jc w:val="left"/>
      </w:pPr>
    </w:p>
    <w:p w14:paraId="43862F23" w14:textId="652776E1" w:rsidR="00095D9E" w:rsidRDefault="00095D9E" w:rsidP="000A2CE1">
      <w:pPr>
        <w:pStyle w:val="a7"/>
        <w:ind w:left="360" w:firstLineChars="0" w:firstLine="0"/>
        <w:jc w:val="left"/>
      </w:pPr>
      <w:r>
        <w:rPr>
          <w:rFonts w:hint="eastAsia"/>
        </w:rPr>
        <w:lastRenderedPageBreak/>
        <w:t>我们再进一步对比两家银行的广义不良率。所谓广义不良率就是不良率加上关注类贷款的占比</w:t>
      </w:r>
      <w:r w:rsidR="00CF46F6">
        <w:rPr>
          <w:rFonts w:hint="eastAsia"/>
        </w:rPr>
        <w:t>。因为有些银行会在没有足够利润去核销不良的情况下，将不良贷款隐藏起来，放到关注类贷款中</w:t>
      </w:r>
      <w:r w:rsidR="00C23FE1">
        <w:rPr>
          <w:rFonts w:hint="eastAsia"/>
        </w:rPr>
        <w:t>，通过广义不良率我们可以更进一步的看出银行资产质量的好坏。</w:t>
      </w:r>
      <w:r w:rsidR="00853A91">
        <w:rPr>
          <w:rFonts w:hint="eastAsia"/>
        </w:rPr>
        <w:t>从上图也可以看出，招商银行与兴业银行的</w:t>
      </w:r>
      <w:r w:rsidR="00AF0702">
        <w:rPr>
          <w:rFonts w:hint="eastAsia"/>
        </w:rPr>
        <w:t>广义不良率均处于下降趋势</w:t>
      </w:r>
      <w:r w:rsidR="00897303">
        <w:rPr>
          <w:rFonts w:hint="eastAsia"/>
        </w:rPr>
        <w:t>，但招商银行的广义不良率始终低于兴业银行，并且差距似乎在</w:t>
      </w:r>
      <w:r w:rsidR="000423BE">
        <w:rPr>
          <w:rFonts w:hint="eastAsia"/>
        </w:rPr>
        <w:t>进一步拉大。</w:t>
      </w:r>
    </w:p>
    <w:p w14:paraId="360876B2" w14:textId="62C35985" w:rsidR="003B2E3F" w:rsidRDefault="003B2E3F" w:rsidP="000A2CE1">
      <w:pPr>
        <w:pStyle w:val="a7"/>
        <w:ind w:left="360" w:firstLineChars="0" w:firstLine="0"/>
        <w:jc w:val="left"/>
      </w:pPr>
      <w:r>
        <w:rPr>
          <w:noProof/>
        </w:rPr>
        <w:drawing>
          <wp:inline distT="0" distB="0" distL="0" distR="0" wp14:anchorId="1FF09220" wp14:editId="2ACDB7EA">
            <wp:extent cx="4572000" cy="2743200"/>
            <wp:effectExtent l="0" t="0" r="0" b="0"/>
            <wp:docPr id="23" name="图表 23">
              <a:extLst xmlns:a="http://schemas.openxmlformats.org/drawingml/2006/main">
                <a:ext uri="{FF2B5EF4-FFF2-40B4-BE49-F238E27FC236}">
                  <a16:creationId xmlns:a16="http://schemas.microsoft.com/office/drawing/2014/main" id="{4D90AE8E-615A-4F13-A3A6-6EEE15B8A0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B4E3714" w14:textId="1E39CAA1" w:rsidR="003B2E3F" w:rsidRDefault="00D47B3B" w:rsidP="000A2CE1">
      <w:pPr>
        <w:pStyle w:val="a7"/>
        <w:ind w:left="360" w:firstLineChars="0" w:firstLine="0"/>
        <w:jc w:val="left"/>
      </w:pPr>
      <w:r>
        <w:rPr>
          <w:rFonts w:hint="eastAsia"/>
        </w:rPr>
        <w:t>不良贷款都是经过核销等手段</w:t>
      </w:r>
      <w:r w:rsidR="00A7749D">
        <w:rPr>
          <w:rFonts w:hint="eastAsia"/>
        </w:rPr>
        <w:t>修饰后的数据，新生成不良贷款则是我们更应该去关注的原生指标</w:t>
      </w:r>
      <w:r w:rsidR="00535EA5">
        <w:rPr>
          <w:rFonts w:hint="eastAsia"/>
        </w:rPr>
        <w:t>。但是大部分银行并不在年报中披露此项数据，所以我通过报告期内不良贷款增量加上核销及转出计算出新生不良贷款的下界。</w:t>
      </w:r>
      <w:r w:rsidR="00A57DFF">
        <w:rPr>
          <w:rFonts w:hint="eastAsia"/>
        </w:rPr>
        <w:t>从上图我们可以看出，</w:t>
      </w:r>
      <w:r w:rsidR="003169F8">
        <w:rPr>
          <w:rFonts w:hint="eastAsia"/>
        </w:rPr>
        <w:t>兴业银行</w:t>
      </w:r>
      <w:r w:rsidR="00A57DFF">
        <w:rPr>
          <w:rFonts w:hint="eastAsia"/>
        </w:rPr>
        <w:t>新生成不良率的下界仍然</w:t>
      </w:r>
      <w:r w:rsidR="003169F8">
        <w:rPr>
          <w:rFonts w:hint="eastAsia"/>
        </w:rPr>
        <w:t>高于招商银行的新生成不良率。</w:t>
      </w:r>
      <w:r w:rsidR="00F36666">
        <w:rPr>
          <w:rFonts w:hint="eastAsia"/>
        </w:rPr>
        <w:t>由此，结合前面的论述我们可以指出招商银行的</w:t>
      </w:r>
      <w:r w:rsidR="006D2F4C">
        <w:rPr>
          <w:rFonts w:hint="eastAsia"/>
        </w:rPr>
        <w:t>资产质量确实要优于兴业银行。</w:t>
      </w:r>
    </w:p>
    <w:p w14:paraId="2A1F4BD8" w14:textId="07E42588" w:rsidR="001A363A" w:rsidRDefault="000C667F" w:rsidP="000A2CE1">
      <w:pPr>
        <w:pStyle w:val="a7"/>
        <w:ind w:left="360" w:firstLineChars="0" w:firstLine="0"/>
        <w:jc w:val="left"/>
      </w:pPr>
      <w:r>
        <w:rPr>
          <w:noProof/>
        </w:rPr>
        <w:drawing>
          <wp:inline distT="0" distB="0" distL="0" distR="0" wp14:anchorId="12E76874" wp14:editId="0BF1AE0A">
            <wp:extent cx="4724400" cy="3081867"/>
            <wp:effectExtent l="0" t="0" r="0" b="4445"/>
            <wp:docPr id="24" name="图表 24">
              <a:extLst xmlns:a="http://schemas.openxmlformats.org/drawingml/2006/main">
                <a:ext uri="{FF2B5EF4-FFF2-40B4-BE49-F238E27FC236}">
                  <a16:creationId xmlns:a16="http://schemas.microsoft.com/office/drawing/2014/main" id="{88F05B66-B3B8-49F7-A9AB-E8DEB7684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6807FF6" w14:textId="7E411F91" w:rsidR="009C3AFC" w:rsidRDefault="009C3AFC" w:rsidP="009C3AFC">
      <w:pPr>
        <w:pStyle w:val="a7"/>
        <w:ind w:left="360" w:firstLineChars="0" w:firstLine="0"/>
        <w:jc w:val="left"/>
      </w:pPr>
      <w:r>
        <w:rPr>
          <w:noProof/>
        </w:rPr>
        <w:lastRenderedPageBreak/>
        <w:drawing>
          <wp:inline distT="0" distB="0" distL="0" distR="0" wp14:anchorId="4E119832" wp14:editId="1BC05537">
            <wp:extent cx="4572000" cy="2743200"/>
            <wp:effectExtent l="0" t="0" r="0" b="0"/>
            <wp:docPr id="25" name="图表 25">
              <a:extLst xmlns:a="http://schemas.openxmlformats.org/drawingml/2006/main">
                <a:ext uri="{FF2B5EF4-FFF2-40B4-BE49-F238E27FC236}">
                  <a16:creationId xmlns:a16="http://schemas.microsoft.com/office/drawing/2014/main" id="{48B35088-5426-4CFB-AD68-60B52F74DD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364FD35" w14:textId="351A0055" w:rsidR="009C3AFC" w:rsidRDefault="00A50C97" w:rsidP="009C3AFC">
      <w:pPr>
        <w:pStyle w:val="a7"/>
        <w:ind w:left="360" w:firstLineChars="0" w:firstLine="0"/>
        <w:jc w:val="left"/>
      </w:pPr>
      <w:r>
        <w:rPr>
          <w:rFonts w:hint="eastAsia"/>
        </w:rPr>
        <w:t>从上面两张图可以看出，</w:t>
      </w:r>
      <w:r w:rsidR="00140B5F">
        <w:rPr>
          <w:rFonts w:hint="eastAsia"/>
        </w:rPr>
        <w:t>招商银行的拨备覆盖率以及拨备比均远高于兴业银行</w:t>
      </w:r>
      <w:r w:rsidR="003A29DC">
        <w:rPr>
          <w:rFonts w:hint="eastAsia"/>
        </w:rPr>
        <w:t>，可以看出招商银行的信用风险抵补机制</w:t>
      </w:r>
      <w:r w:rsidR="00B5684A">
        <w:rPr>
          <w:rFonts w:hint="eastAsia"/>
        </w:rPr>
        <w:t>远好于兴业银行。</w:t>
      </w:r>
      <w:r w:rsidR="006D5123">
        <w:rPr>
          <w:rFonts w:hint="eastAsia"/>
        </w:rPr>
        <w:t>我们前面有提到过</w:t>
      </w:r>
      <w:r w:rsidR="00B603CD">
        <w:rPr>
          <w:rFonts w:hint="eastAsia"/>
        </w:rPr>
        <w:t>不良贷款余额是一个比较主观的值</w:t>
      </w:r>
      <w:r w:rsidR="00FA1F45">
        <w:rPr>
          <w:rFonts w:hint="eastAsia"/>
        </w:rPr>
        <w:t>，导致拨备覆盖率是一个偏主观的值；而</w:t>
      </w:r>
      <w:r w:rsidR="00071F97">
        <w:rPr>
          <w:rFonts w:hint="eastAsia"/>
        </w:rPr>
        <w:t>贷款拨备率则没有考虑到不同性质贷款所面对的不同风险。</w:t>
      </w:r>
      <w:r w:rsidR="006A34BD">
        <w:rPr>
          <w:rFonts w:hint="eastAsia"/>
        </w:rPr>
        <w:t>综合一下，</w:t>
      </w:r>
      <w:r w:rsidR="0022369D">
        <w:rPr>
          <w:rFonts w:hint="eastAsia"/>
        </w:rPr>
        <w:t>我们决定使用风险加权资产减值准备率（资产减值准备/风险加权资产）去评估银行的风险抵补能力。</w:t>
      </w:r>
    </w:p>
    <w:p w14:paraId="418B92AC" w14:textId="297E6FFE" w:rsidR="006B0591" w:rsidRDefault="006B0591" w:rsidP="009C3AFC">
      <w:pPr>
        <w:pStyle w:val="a7"/>
        <w:ind w:left="360" w:firstLineChars="0" w:firstLine="0"/>
        <w:jc w:val="left"/>
      </w:pPr>
      <w:r>
        <w:rPr>
          <w:noProof/>
        </w:rPr>
        <w:drawing>
          <wp:inline distT="0" distB="0" distL="0" distR="0" wp14:anchorId="44B5BADE" wp14:editId="0ACEB570">
            <wp:extent cx="4572000" cy="2743200"/>
            <wp:effectExtent l="0" t="0" r="0" b="0"/>
            <wp:docPr id="26" name="图表 26">
              <a:extLst xmlns:a="http://schemas.openxmlformats.org/drawingml/2006/main">
                <a:ext uri="{FF2B5EF4-FFF2-40B4-BE49-F238E27FC236}">
                  <a16:creationId xmlns:a16="http://schemas.microsoft.com/office/drawing/2014/main" id="{5F4DE5A1-D25A-4700-ABAB-1745D0C8D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29B286E" w14:textId="5B3164F3" w:rsidR="006B0591" w:rsidRDefault="006B0591" w:rsidP="009C3AFC">
      <w:pPr>
        <w:pStyle w:val="a7"/>
        <w:ind w:left="360" w:firstLineChars="0" w:firstLine="0"/>
        <w:jc w:val="left"/>
      </w:pPr>
      <w:r>
        <w:rPr>
          <w:rFonts w:hint="eastAsia"/>
        </w:rPr>
        <w:t>为了保证对比的公平性，两家银行均使用权重法记录风险加权资产。从上图可以看出，招商银行的风险加权资产减值准备率远高于兴业银行</w:t>
      </w:r>
      <w:r w:rsidR="00DF7B6E">
        <w:rPr>
          <w:rFonts w:hint="eastAsia"/>
        </w:rPr>
        <w:t>，进一步验证了我们</w:t>
      </w:r>
      <w:r w:rsidR="00C33CE7">
        <w:rPr>
          <w:rFonts w:hint="eastAsia"/>
        </w:rPr>
        <w:t>招商银行</w:t>
      </w:r>
      <w:r w:rsidR="00DF7B6E">
        <w:rPr>
          <w:rFonts w:hint="eastAsia"/>
        </w:rPr>
        <w:t>风险抵补能力远高于兴业银行的推断。</w:t>
      </w:r>
    </w:p>
    <w:p w14:paraId="10FA93C6" w14:textId="7803D011" w:rsidR="008E5E84" w:rsidRDefault="008E5E84" w:rsidP="009C3AFC">
      <w:pPr>
        <w:pStyle w:val="a7"/>
        <w:ind w:left="360" w:firstLineChars="0" w:firstLine="0"/>
        <w:jc w:val="left"/>
      </w:pPr>
    </w:p>
    <w:p w14:paraId="455224C5" w14:textId="0D45D123" w:rsidR="008E5E84" w:rsidRDefault="008E5E84" w:rsidP="008E5E84">
      <w:pPr>
        <w:pStyle w:val="a7"/>
        <w:numPr>
          <w:ilvl w:val="0"/>
          <w:numId w:val="2"/>
        </w:numPr>
        <w:ind w:firstLineChars="0"/>
        <w:jc w:val="left"/>
      </w:pPr>
      <w:r>
        <w:rPr>
          <w:rFonts w:hint="eastAsia"/>
        </w:rPr>
        <w:t>负债分析</w:t>
      </w:r>
    </w:p>
    <w:p w14:paraId="4A74EA95" w14:textId="7142866D" w:rsidR="008E5E84" w:rsidRDefault="008E5E84" w:rsidP="008E5E84">
      <w:pPr>
        <w:pStyle w:val="a7"/>
        <w:ind w:left="360" w:firstLineChars="0" w:firstLine="0"/>
        <w:jc w:val="left"/>
      </w:pPr>
      <w:r>
        <w:rPr>
          <w:rFonts w:hint="eastAsia"/>
        </w:rPr>
        <w:t>还记得我们之前的数据表明招商银行近五年的净息差始终高于兴业银行，但二者生息资产的收益率却看似差不太多，那显然问题就出在了二者的计息负债成本率上了。</w:t>
      </w:r>
      <w:r w:rsidR="000A6B6E">
        <w:rPr>
          <w:rFonts w:hint="eastAsia"/>
        </w:rPr>
        <w:t>我们效仿上面有关生息资产的分析，从上至下的分析两家银行负债的成本，结构以及抗风险的能力。</w:t>
      </w:r>
    </w:p>
    <w:p w14:paraId="202BE741" w14:textId="43D6C864" w:rsidR="000A6B6E" w:rsidRDefault="004438AF" w:rsidP="008E5E84">
      <w:pPr>
        <w:pStyle w:val="a7"/>
        <w:ind w:left="360" w:firstLineChars="0" w:firstLine="0"/>
        <w:jc w:val="left"/>
      </w:pPr>
      <w:r>
        <w:rPr>
          <w:noProof/>
        </w:rPr>
        <w:lastRenderedPageBreak/>
        <w:drawing>
          <wp:inline distT="0" distB="0" distL="0" distR="0" wp14:anchorId="21D285D0" wp14:editId="22D42FA0">
            <wp:extent cx="4723765" cy="2616200"/>
            <wp:effectExtent l="0" t="0" r="635" b="12700"/>
            <wp:docPr id="21" name="图表 21">
              <a:extLst xmlns:a="http://schemas.openxmlformats.org/drawingml/2006/main">
                <a:ext uri="{FF2B5EF4-FFF2-40B4-BE49-F238E27FC236}">
                  <a16:creationId xmlns:a16="http://schemas.microsoft.com/office/drawing/2014/main" id="{62893C58-E0C9-494C-8018-C51EFDEBFF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3F0405C" w14:textId="0E4D9304" w:rsidR="000A6B6E" w:rsidRDefault="004438AF" w:rsidP="008E5E84">
      <w:pPr>
        <w:pStyle w:val="a7"/>
        <w:ind w:left="360" w:firstLineChars="0" w:firstLine="0"/>
        <w:jc w:val="left"/>
      </w:pPr>
      <w:r>
        <w:rPr>
          <w:rFonts w:hint="eastAsia"/>
        </w:rPr>
        <w:t>从上图可以看出，近八年来招商银行的计息负债平均成本率是始终低于兴业银行计息负债的平均成本率的</w:t>
      </w:r>
      <w:r w:rsidR="00AF4571">
        <w:rPr>
          <w:rFonts w:hint="eastAsia"/>
        </w:rPr>
        <w:t>，二者的走势大致相同</w:t>
      </w:r>
      <w:r w:rsidR="009B30FB">
        <w:rPr>
          <w:rFonts w:hint="eastAsia"/>
        </w:rPr>
        <w:t>，均处于下降的趋势。</w:t>
      </w:r>
    </w:p>
    <w:p w14:paraId="510DADA2" w14:textId="3781B052" w:rsidR="00051F90" w:rsidRDefault="00051F90" w:rsidP="008E5E84">
      <w:pPr>
        <w:pStyle w:val="a7"/>
        <w:ind w:left="360" w:firstLineChars="0" w:firstLine="0"/>
        <w:jc w:val="left"/>
      </w:pPr>
      <w:r>
        <w:rPr>
          <w:noProof/>
        </w:rPr>
        <w:drawing>
          <wp:inline distT="0" distB="0" distL="0" distR="0" wp14:anchorId="71F409D7" wp14:editId="63DD392A">
            <wp:extent cx="4641850" cy="2641600"/>
            <wp:effectExtent l="0" t="0" r="6350" b="6350"/>
            <wp:docPr id="27" name="图表 27">
              <a:extLst xmlns:a="http://schemas.openxmlformats.org/drawingml/2006/main">
                <a:ext uri="{FF2B5EF4-FFF2-40B4-BE49-F238E27FC236}">
                  <a16:creationId xmlns:a16="http://schemas.microsoft.com/office/drawing/2014/main" id="{5F1EEFDF-B34C-48CD-A49C-78B071D135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555FD61" w14:textId="47191757" w:rsidR="00DD2947" w:rsidRDefault="00DD2947" w:rsidP="008E5E84">
      <w:pPr>
        <w:pStyle w:val="a7"/>
        <w:ind w:left="360" w:firstLineChars="0" w:firstLine="0"/>
        <w:jc w:val="left"/>
      </w:pPr>
      <w:r>
        <w:rPr>
          <w:noProof/>
        </w:rPr>
        <w:drawing>
          <wp:inline distT="0" distB="0" distL="0" distR="0" wp14:anchorId="7261793B" wp14:editId="38E6F5D2">
            <wp:extent cx="4654550" cy="2800985"/>
            <wp:effectExtent l="0" t="0" r="12700" b="18415"/>
            <wp:docPr id="28" name="图表 28">
              <a:extLst xmlns:a="http://schemas.openxmlformats.org/drawingml/2006/main">
                <a:ext uri="{FF2B5EF4-FFF2-40B4-BE49-F238E27FC236}">
                  <a16:creationId xmlns:a16="http://schemas.microsoft.com/office/drawing/2014/main" id="{E20788F6-C93D-494C-A85A-2EBCBC293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8A13980" w14:textId="4E25AC27" w:rsidR="00BC2E59" w:rsidRDefault="00BC2E59" w:rsidP="008E5E84">
      <w:pPr>
        <w:pStyle w:val="a7"/>
        <w:ind w:left="360" w:firstLineChars="0" w:firstLine="0"/>
        <w:jc w:val="left"/>
      </w:pPr>
      <w:r>
        <w:rPr>
          <w:rFonts w:hint="eastAsia"/>
        </w:rPr>
        <w:lastRenderedPageBreak/>
        <w:t>再去看看两家银行的计息负债结构</w:t>
      </w:r>
      <w:r w:rsidR="004F4900">
        <w:rPr>
          <w:rFonts w:hint="eastAsia"/>
        </w:rPr>
        <w:t>，</w:t>
      </w:r>
      <w:r w:rsidR="002B3AC7">
        <w:rPr>
          <w:rFonts w:hint="eastAsia"/>
        </w:rPr>
        <w:t>可以看出两家银行的负债结构差异很大。</w:t>
      </w:r>
      <w:r w:rsidR="001B686B">
        <w:rPr>
          <w:rFonts w:hint="eastAsia"/>
        </w:rPr>
        <w:t>招商银行</w:t>
      </w:r>
      <w:r w:rsidR="005B148E">
        <w:rPr>
          <w:rFonts w:hint="eastAsia"/>
        </w:rPr>
        <w:t>的存款占据了</w:t>
      </w:r>
      <w:r w:rsidR="00A940B8">
        <w:rPr>
          <w:rFonts w:hint="eastAsia"/>
        </w:rPr>
        <w:t>约</w:t>
      </w:r>
      <w:r w:rsidR="005B148E">
        <w:rPr>
          <w:rFonts w:hint="eastAsia"/>
        </w:rPr>
        <w:t>3/</w:t>
      </w:r>
      <w:r w:rsidR="005B148E">
        <w:t>4</w:t>
      </w:r>
      <w:r w:rsidR="005B148E">
        <w:rPr>
          <w:rFonts w:hint="eastAsia"/>
        </w:rPr>
        <w:t>的负债，而且占比还呈连年上升的趋势</w:t>
      </w:r>
      <w:r w:rsidR="00A940B8">
        <w:rPr>
          <w:rFonts w:hint="eastAsia"/>
        </w:rPr>
        <w:t>，</w:t>
      </w:r>
      <w:r w:rsidR="0063300A">
        <w:rPr>
          <w:rFonts w:hint="eastAsia"/>
        </w:rPr>
        <w:t>利率较高的应付债券以及向央行借款几乎没有，同业负债也只有百分之十几的份额</w:t>
      </w:r>
      <w:r w:rsidR="005F0742">
        <w:rPr>
          <w:rFonts w:hint="eastAsia"/>
        </w:rPr>
        <w:t>。</w:t>
      </w:r>
      <w:r w:rsidR="00013CED">
        <w:rPr>
          <w:rFonts w:hint="eastAsia"/>
        </w:rPr>
        <w:t>而反观兴业银行，负债中成本率最低的存款只占到了一半出头的份额</w:t>
      </w:r>
      <w:r w:rsidR="009A15F0">
        <w:rPr>
          <w:rFonts w:hint="eastAsia"/>
        </w:rPr>
        <w:t>，除却向央行借款的份额较小，高成本率</w:t>
      </w:r>
      <w:r w:rsidR="001A46BB">
        <w:rPr>
          <w:rFonts w:hint="eastAsia"/>
        </w:rPr>
        <w:t>的</w:t>
      </w:r>
      <w:r w:rsidR="009A15F0">
        <w:rPr>
          <w:rFonts w:hint="eastAsia"/>
        </w:rPr>
        <w:t>同业负债和应付债券</w:t>
      </w:r>
      <w:r w:rsidR="001A46BB">
        <w:rPr>
          <w:rFonts w:hint="eastAsia"/>
        </w:rPr>
        <w:t>份额远远高于招商银行。</w:t>
      </w:r>
      <w:r w:rsidR="00B86986">
        <w:rPr>
          <w:rFonts w:hint="eastAsia"/>
        </w:rPr>
        <w:t>与此同时，招商银行计息负债规模的CAGR为7</w:t>
      </w:r>
      <w:r w:rsidR="00B86986">
        <w:t>.25</w:t>
      </w:r>
      <w:r w:rsidR="00B86986">
        <w:rPr>
          <w:rFonts w:hint="eastAsia"/>
        </w:rPr>
        <w:t>%而兴业银行的计息负债</w:t>
      </w:r>
      <w:r w:rsidR="00045DCE">
        <w:rPr>
          <w:rFonts w:hint="eastAsia"/>
        </w:rPr>
        <w:t>规模的CAGR则为5</w:t>
      </w:r>
      <w:r w:rsidR="00045DCE">
        <w:t>.60%。</w:t>
      </w:r>
      <w:r w:rsidR="007E0806">
        <w:t>在负债规模增速不及招商银行的情况下，兴业银行竟然仍然有着许多高成本的负债</w:t>
      </w:r>
      <w:r w:rsidR="004721E6">
        <w:t>。不难看出，兴业银行的揽储能力明显不如招商银行</w:t>
      </w:r>
      <w:r w:rsidR="00FD4B79">
        <w:t>，</w:t>
      </w:r>
      <w:r w:rsidR="004A055D">
        <w:t>应付债券以及同业负债都是兴业银行为了扩张负债规模而不得已去吸收的高成本负债。</w:t>
      </w:r>
    </w:p>
    <w:p w14:paraId="164A3B46" w14:textId="649190D7" w:rsidR="007E657A" w:rsidRDefault="007E657A" w:rsidP="008E5E84">
      <w:pPr>
        <w:pStyle w:val="a7"/>
        <w:ind w:left="360" w:firstLineChars="0" w:firstLine="0"/>
        <w:jc w:val="left"/>
      </w:pPr>
      <w:r>
        <w:rPr>
          <w:noProof/>
        </w:rPr>
        <w:drawing>
          <wp:inline distT="0" distB="0" distL="0" distR="0" wp14:anchorId="667638BD" wp14:editId="0F7152E8">
            <wp:extent cx="4565276" cy="2815366"/>
            <wp:effectExtent l="0" t="0" r="6985" b="4445"/>
            <wp:docPr id="29" name="图表 29">
              <a:extLst xmlns:a="http://schemas.openxmlformats.org/drawingml/2006/main">
                <a:ext uri="{FF2B5EF4-FFF2-40B4-BE49-F238E27FC236}">
                  <a16:creationId xmlns:a16="http://schemas.microsoft.com/office/drawing/2014/main" id="{A8436A15-1435-47F8-89E2-7FD634EB41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F6E6CBC" w14:textId="12FC3AE0" w:rsidR="007E657A" w:rsidRDefault="007E657A" w:rsidP="008E5E84">
      <w:pPr>
        <w:pStyle w:val="a7"/>
        <w:ind w:left="360" w:firstLineChars="0" w:firstLine="0"/>
        <w:jc w:val="left"/>
      </w:pPr>
      <w:r>
        <w:rPr>
          <w:noProof/>
        </w:rPr>
        <w:drawing>
          <wp:inline distT="0" distB="0" distL="0" distR="0" wp14:anchorId="4E59088F" wp14:editId="09864B0D">
            <wp:extent cx="4565276" cy="2815366"/>
            <wp:effectExtent l="0" t="0" r="6985" b="4445"/>
            <wp:docPr id="30" name="图表 30">
              <a:extLst xmlns:a="http://schemas.openxmlformats.org/drawingml/2006/main">
                <a:ext uri="{FF2B5EF4-FFF2-40B4-BE49-F238E27FC236}">
                  <a16:creationId xmlns:a16="http://schemas.microsoft.com/office/drawing/2014/main" id="{DD7FF78E-829D-4F31-993D-01AC18C3B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16B5C8B" w14:textId="1D7E0058" w:rsidR="007E657A" w:rsidRDefault="007E657A" w:rsidP="008E5E84">
      <w:pPr>
        <w:pStyle w:val="a7"/>
        <w:ind w:left="360" w:firstLineChars="0" w:firstLine="0"/>
        <w:jc w:val="left"/>
      </w:pPr>
      <w:r>
        <w:t>从上面两张图可以看出招商银行与兴业银行的应付债券成本率相差无几，但是兴业银行的同业负债成本率明显高于招商银行，</w:t>
      </w:r>
      <w:bookmarkStart w:id="2" w:name="OLE_LINK3"/>
      <w:bookmarkStart w:id="3" w:name="OLE_LINK4"/>
      <w:r>
        <w:t>这也进一步验证了兴业银行为了扩张资产规模使用了很多的主动性同业负债。</w:t>
      </w:r>
      <w:bookmarkEnd w:id="2"/>
      <w:bookmarkEnd w:id="3"/>
      <w:r w:rsidR="00EB356B">
        <w:t>与此同时，我们可以看到近几年来</w:t>
      </w:r>
      <w:r w:rsidR="00603234">
        <w:t>两家银行的同业负债成本率均呈下降的趋势。但我们需要意识到，同业负债的利率是和流动性高度相关的，去年的疫情导致大规模放水让同业负债的成本进一步下降，这是很大程度上利</w:t>
      </w:r>
      <w:r w:rsidR="00603234">
        <w:lastRenderedPageBreak/>
        <w:t>好兴业银行的。但我们需要考量这样的流动性是否是可持续的。</w:t>
      </w:r>
    </w:p>
    <w:p w14:paraId="60E1C87C" w14:textId="650E3CBE" w:rsidR="00C37CB6" w:rsidRDefault="00C37CB6" w:rsidP="008E5E84">
      <w:pPr>
        <w:pStyle w:val="a7"/>
        <w:ind w:left="360" w:firstLineChars="0" w:firstLine="0"/>
        <w:jc w:val="left"/>
      </w:pPr>
      <w:r>
        <w:rPr>
          <w:noProof/>
        </w:rPr>
        <w:drawing>
          <wp:inline distT="0" distB="0" distL="0" distR="0" wp14:anchorId="3051BB4B" wp14:editId="7FF9F11C">
            <wp:extent cx="4483100" cy="2698750"/>
            <wp:effectExtent l="0" t="0" r="12700" b="6350"/>
            <wp:docPr id="31" name="图表 31">
              <a:extLst xmlns:a="http://schemas.openxmlformats.org/drawingml/2006/main">
                <a:ext uri="{FF2B5EF4-FFF2-40B4-BE49-F238E27FC236}">
                  <a16:creationId xmlns:a16="http://schemas.microsoft.com/office/drawing/2014/main" id="{7AE2CAD2-A0C0-4C3C-B457-0A7E46DBE1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E3D29B9" w14:textId="7D4F339B" w:rsidR="00C37CB6" w:rsidRDefault="009B1CF9" w:rsidP="008E5E84">
      <w:pPr>
        <w:pStyle w:val="a7"/>
        <w:ind w:left="360" w:firstLineChars="0" w:firstLine="0"/>
        <w:jc w:val="left"/>
      </w:pPr>
      <w:r>
        <w:t>从上图可以看出，招商银行的存款平均成本率同样显著低于兴业银行</w:t>
      </w:r>
      <w:r w:rsidR="001F56BB">
        <w:t>。我们再从二者的存款结构和单项成本去分析。</w:t>
      </w:r>
    </w:p>
    <w:p w14:paraId="627BCCC0" w14:textId="75048D02" w:rsidR="00602992" w:rsidRDefault="00602992" w:rsidP="008E5E84">
      <w:pPr>
        <w:pStyle w:val="a7"/>
        <w:ind w:left="360" w:firstLineChars="0" w:firstLine="0"/>
        <w:jc w:val="left"/>
      </w:pPr>
      <w:r>
        <w:rPr>
          <w:noProof/>
        </w:rPr>
        <w:drawing>
          <wp:inline distT="0" distB="0" distL="0" distR="0" wp14:anchorId="3D4E9619" wp14:editId="05676DED">
            <wp:extent cx="4476750" cy="2597150"/>
            <wp:effectExtent l="0" t="0" r="0" b="12700"/>
            <wp:docPr id="32" name="图表 32">
              <a:extLst xmlns:a="http://schemas.openxmlformats.org/drawingml/2006/main">
                <a:ext uri="{FF2B5EF4-FFF2-40B4-BE49-F238E27FC236}">
                  <a16:creationId xmlns:a16="http://schemas.microsoft.com/office/drawing/2014/main" id="{1BA1D68D-0693-4509-813C-9E440DC0A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AA278E4" w14:textId="034469F7" w:rsidR="00FA3FC0" w:rsidRDefault="00FA3FC0" w:rsidP="008E5E84">
      <w:pPr>
        <w:pStyle w:val="a7"/>
        <w:ind w:left="360" w:firstLineChars="0" w:firstLine="0"/>
        <w:jc w:val="left"/>
      </w:pPr>
      <w:r>
        <w:rPr>
          <w:noProof/>
        </w:rPr>
        <w:drawing>
          <wp:inline distT="0" distB="0" distL="0" distR="0" wp14:anchorId="6B304FC3" wp14:editId="6BF0D73D">
            <wp:extent cx="4464050" cy="2641600"/>
            <wp:effectExtent l="0" t="0" r="12700" b="6350"/>
            <wp:docPr id="33" name="图表 33">
              <a:extLst xmlns:a="http://schemas.openxmlformats.org/drawingml/2006/main">
                <a:ext uri="{FF2B5EF4-FFF2-40B4-BE49-F238E27FC236}">
                  <a16:creationId xmlns:a16="http://schemas.microsoft.com/office/drawing/2014/main" id="{EEA97FB4-6864-45C9-A855-B55B64A6F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2A1D8D5" w14:textId="3B2484B8" w:rsidR="00873752" w:rsidRDefault="00873752" w:rsidP="008E5E84">
      <w:pPr>
        <w:pStyle w:val="a7"/>
        <w:ind w:left="360" w:firstLineChars="0" w:firstLine="0"/>
        <w:jc w:val="left"/>
      </w:pPr>
      <w:r>
        <w:lastRenderedPageBreak/>
        <w:t>兴业银行对公存款占比加零售存款占比并不等于100%是因为在其年报的存款一项中存在其他存款一项，在这里我们并没有考虑它。</w:t>
      </w:r>
      <w:r w:rsidR="002D7601">
        <w:t>可以看出两家银行的对公存款都占据了更大的比例</w:t>
      </w:r>
      <w:r w:rsidR="00C63399">
        <w:t>，</w:t>
      </w:r>
      <w:r w:rsidR="001035E0">
        <w:t>不过招商银行的</w:t>
      </w:r>
      <w:r w:rsidR="0041256A">
        <w:t>零售存款占比明显高于兴业银行</w:t>
      </w:r>
      <w:r w:rsidR="00184ACD">
        <w:t>。我们再来看看单项的成本率。</w:t>
      </w:r>
    </w:p>
    <w:p w14:paraId="0304621C" w14:textId="48B8B281" w:rsidR="006A5CE3" w:rsidRDefault="006A5CE3" w:rsidP="008E5E84">
      <w:pPr>
        <w:pStyle w:val="a7"/>
        <w:ind w:left="360" w:firstLineChars="0" w:firstLine="0"/>
        <w:jc w:val="left"/>
      </w:pPr>
      <w:r>
        <w:rPr>
          <w:noProof/>
        </w:rPr>
        <w:drawing>
          <wp:inline distT="0" distB="0" distL="0" distR="0" wp14:anchorId="4BD4A8E9" wp14:editId="117E3D91">
            <wp:extent cx="4572000" cy="2743200"/>
            <wp:effectExtent l="0" t="0" r="0" b="0"/>
            <wp:docPr id="34" name="图表 34">
              <a:extLst xmlns:a="http://schemas.openxmlformats.org/drawingml/2006/main">
                <a:ext uri="{FF2B5EF4-FFF2-40B4-BE49-F238E27FC236}">
                  <a16:creationId xmlns:a16="http://schemas.microsoft.com/office/drawing/2014/main" id="{4535AA4C-A0BB-4666-84D3-1930C49E0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0A4E331" w14:textId="005024BD" w:rsidR="006A5CE3" w:rsidRDefault="00AE18CD" w:rsidP="008E5E84">
      <w:pPr>
        <w:pStyle w:val="a7"/>
        <w:ind w:left="360" w:firstLineChars="0" w:firstLine="0"/>
        <w:jc w:val="left"/>
      </w:pPr>
      <w:r>
        <w:rPr>
          <w:noProof/>
        </w:rPr>
        <w:drawing>
          <wp:inline distT="0" distB="0" distL="0" distR="0" wp14:anchorId="1D9E28C0" wp14:editId="330CA7A3">
            <wp:extent cx="4572000" cy="2743200"/>
            <wp:effectExtent l="0" t="0" r="0" b="0"/>
            <wp:docPr id="36" name="图表 36">
              <a:extLst xmlns:a="http://schemas.openxmlformats.org/drawingml/2006/main">
                <a:ext uri="{FF2B5EF4-FFF2-40B4-BE49-F238E27FC236}">
                  <a16:creationId xmlns:a16="http://schemas.microsoft.com/office/drawing/2014/main" id="{4DB82689-A7FA-4C15-948F-6C8FE2299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468B561" w14:textId="51E777A0" w:rsidR="003736DA" w:rsidRDefault="005060C1" w:rsidP="008E5E84">
      <w:pPr>
        <w:pStyle w:val="a7"/>
        <w:ind w:left="360" w:firstLineChars="0" w:firstLine="0"/>
        <w:jc w:val="left"/>
      </w:pPr>
      <w:r>
        <w:t>从上面两张图可以看出，不论是对公存款还是零售存款，招商银行的成本率都低于兴业银行</w:t>
      </w:r>
      <w:r w:rsidR="005C54D5">
        <w:t>，零售存款成本率的差距尤为明显</w:t>
      </w:r>
      <w:r w:rsidR="0084155F">
        <w:t>。</w:t>
      </w:r>
      <w:r w:rsidR="003F50B2">
        <w:t>而且，和贷款相似，存款的零售业务仍然优于对公业务</w:t>
      </w:r>
      <w:r w:rsidR="00D15EC1">
        <w:t>，这可能是因为一些企业对银行有一定的议价权所导致的。</w:t>
      </w:r>
      <w:r w:rsidR="00DD3256">
        <w:t>我们知道存款通常分为活期和定期，前者的负债成本低，流动性需求强，而后者的负债成本稍高，流动性需求较弱</w:t>
      </w:r>
      <w:r w:rsidR="00EA2DA1">
        <w:t>。我们再分别考量两家银行零售业务以及对公业务的结构和相关的</w:t>
      </w:r>
      <w:r w:rsidR="003B5811">
        <w:t>成本率去研究为什么招商银行的</w:t>
      </w:r>
      <w:r w:rsidR="00D67C23">
        <w:t>成本率要明显优于兴业银行。</w:t>
      </w:r>
    </w:p>
    <w:p w14:paraId="64941FA2" w14:textId="6EE14EDE" w:rsidR="00A84E33" w:rsidRDefault="00A84E33" w:rsidP="008E5E84">
      <w:pPr>
        <w:pStyle w:val="a7"/>
        <w:ind w:left="360" w:firstLineChars="0" w:firstLine="0"/>
        <w:jc w:val="left"/>
      </w:pPr>
      <w:r>
        <w:rPr>
          <w:noProof/>
        </w:rPr>
        <w:lastRenderedPageBreak/>
        <w:drawing>
          <wp:inline distT="0" distB="0" distL="0" distR="0" wp14:anchorId="6B5CEE75" wp14:editId="6734E78D">
            <wp:extent cx="4572000" cy="2743200"/>
            <wp:effectExtent l="0" t="0" r="0" b="0"/>
            <wp:docPr id="37" name="图表 37">
              <a:extLst xmlns:a="http://schemas.openxmlformats.org/drawingml/2006/main">
                <a:ext uri="{FF2B5EF4-FFF2-40B4-BE49-F238E27FC236}">
                  <a16:creationId xmlns:a16="http://schemas.microsoft.com/office/drawing/2014/main" id="{524086C7-193F-459D-B5C5-A4E90FE3D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49B984D" w14:textId="132EC022" w:rsidR="00A84E33" w:rsidRDefault="00A84E33" w:rsidP="008E5E84">
      <w:pPr>
        <w:pStyle w:val="a7"/>
        <w:ind w:left="360" w:firstLineChars="0" w:firstLine="0"/>
        <w:jc w:val="left"/>
      </w:pPr>
      <w:r>
        <w:rPr>
          <w:noProof/>
        </w:rPr>
        <w:drawing>
          <wp:inline distT="0" distB="0" distL="0" distR="0" wp14:anchorId="2EE73C16" wp14:editId="77F8DCA0">
            <wp:extent cx="4572000" cy="2743200"/>
            <wp:effectExtent l="0" t="0" r="0" b="0"/>
            <wp:docPr id="38" name="图表 38">
              <a:extLst xmlns:a="http://schemas.openxmlformats.org/drawingml/2006/main">
                <a:ext uri="{FF2B5EF4-FFF2-40B4-BE49-F238E27FC236}">
                  <a16:creationId xmlns:a16="http://schemas.microsoft.com/office/drawing/2014/main" id="{9F076723-B022-49CA-9643-D756019B4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38D9340" w14:textId="52CAB845" w:rsidR="0017335C" w:rsidRDefault="00B23740" w:rsidP="008E5E84">
      <w:pPr>
        <w:pStyle w:val="a7"/>
        <w:ind w:left="360" w:firstLineChars="0" w:firstLine="0"/>
        <w:jc w:val="left"/>
      </w:pPr>
      <w:r>
        <w:t>从上面两张图可以看出，招商银行存款的优势主要体现在活期占比上。可以看到，招商银行无论是对公存款还是零售存款，活期的占比都大于一半，而且远高于兴业银行。</w:t>
      </w:r>
      <w:r w:rsidR="00A22E03">
        <w:t>招商银行超高的活期占比主要</w:t>
      </w:r>
      <w:r w:rsidR="00C501C0">
        <w:t>得益于其AMU导向的零售管理体系。</w:t>
      </w:r>
    </w:p>
    <w:p w14:paraId="460C0C5A" w14:textId="37F17EF7" w:rsidR="00C734CD" w:rsidRDefault="00C734CD" w:rsidP="008E5E84">
      <w:pPr>
        <w:pStyle w:val="a7"/>
        <w:ind w:left="360" w:firstLineChars="0" w:firstLine="0"/>
        <w:jc w:val="left"/>
      </w:pPr>
      <w:r>
        <w:rPr>
          <w:noProof/>
        </w:rPr>
        <w:drawing>
          <wp:inline distT="0" distB="0" distL="0" distR="0" wp14:anchorId="4D2D4E7B" wp14:editId="6D1E2154">
            <wp:extent cx="4337050" cy="2508250"/>
            <wp:effectExtent l="0" t="0" r="6350" b="6350"/>
            <wp:docPr id="39" name="图表 39">
              <a:extLst xmlns:a="http://schemas.openxmlformats.org/drawingml/2006/main">
                <a:ext uri="{FF2B5EF4-FFF2-40B4-BE49-F238E27FC236}">
                  <a16:creationId xmlns:a16="http://schemas.microsoft.com/office/drawing/2014/main" id="{4D55C267-139C-4EA2-977E-96468561E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6A08F7D" w14:textId="430F0175" w:rsidR="00C734CD" w:rsidRDefault="00C734CD" w:rsidP="008E5E84">
      <w:pPr>
        <w:pStyle w:val="a7"/>
        <w:ind w:left="360" w:firstLineChars="0" w:firstLine="0"/>
        <w:jc w:val="left"/>
      </w:pPr>
      <w:r>
        <w:rPr>
          <w:noProof/>
        </w:rPr>
        <w:lastRenderedPageBreak/>
        <w:drawing>
          <wp:inline distT="0" distB="0" distL="0" distR="0" wp14:anchorId="3E85780F" wp14:editId="215B9FE8">
            <wp:extent cx="4572000" cy="2743200"/>
            <wp:effectExtent l="0" t="0" r="0" b="0"/>
            <wp:docPr id="40" name="图表 40">
              <a:extLst xmlns:a="http://schemas.openxmlformats.org/drawingml/2006/main">
                <a:ext uri="{FF2B5EF4-FFF2-40B4-BE49-F238E27FC236}">
                  <a16:creationId xmlns:a16="http://schemas.microsoft.com/office/drawing/2014/main" id="{7E701B7A-1D68-4AA9-87A4-339831FF3A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1B7CBEF" w14:textId="083B1AA0" w:rsidR="00C734CD" w:rsidRDefault="00C734CD" w:rsidP="008E5E84">
      <w:pPr>
        <w:pStyle w:val="a7"/>
        <w:ind w:left="360" w:firstLineChars="0" w:firstLine="0"/>
        <w:jc w:val="left"/>
      </w:pPr>
      <w:r>
        <w:rPr>
          <w:noProof/>
        </w:rPr>
        <w:drawing>
          <wp:inline distT="0" distB="0" distL="0" distR="0" wp14:anchorId="0CBEAADC" wp14:editId="09AD7173">
            <wp:extent cx="4572000" cy="2743200"/>
            <wp:effectExtent l="0" t="0" r="0" b="0"/>
            <wp:docPr id="41" name="图表 41">
              <a:extLst xmlns:a="http://schemas.openxmlformats.org/drawingml/2006/main">
                <a:ext uri="{FF2B5EF4-FFF2-40B4-BE49-F238E27FC236}">
                  <a16:creationId xmlns:a16="http://schemas.microsoft.com/office/drawing/2014/main" id="{5461F45D-8145-4B27-AB9E-ABD9035E90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E791AA7" w14:textId="30513B02" w:rsidR="00C734CD" w:rsidRDefault="00C734CD" w:rsidP="008E5E84">
      <w:pPr>
        <w:pStyle w:val="a7"/>
        <w:ind w:left="360" w:firstLineChars="0" w:firstLine="0"/>
        <w:jc w:val="left"/>
      </w:pPr>
      <w:r>
        <w:rPr>
          <w:noProof/>
        </w:rPr>
        <w:drawing>
          <wp:inline distT="0" distB="0" distL="0" distR="0" wp14:anchorId="6EE2C09C" wp14:editId="0C040E4C">
            <wp:extent cx="4572000" cy="2743200"/>
            <wp:effectExtent l="0" t="0" r="0" b="0"/>
            <wp:docPr id="42" name="图表 42">
              <a:extLst xmlns:a="http://schemas.openxmlformats.org/drawingml/2006/main">
                <a:ext uri="{FF2B5EF4-FFF2-40B4-BE49-F238E27FC236}">
                  <a16:creationId xmlns:a16="http://schemas.microsoft.com/office/drawing/2014/main" id="{56C50442-445F-4836-AEA3-869BD3290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751805D" w14:textId="3B39F80F" w:rsidR="00C734CD" w:rsidRDefault="00C734CD" w:rsidP="008E5E84">
      <w:pPr>
        <w:pStyle w:val="a7"/>
        <w:ind w:left="360" w:firstLineChars="0" w:firstLine="0"/>
        <w:jc w:val="left"/>
      </w:pPr>
      <w:r>
        <w:t>从上面四张图可以看出，两家银行零售业务活期成本率以及对公业务的成本率都差不太多，只有在零售定期业务上，招商银行的成本率远低于兴业银行。</w:t>
      </w:r>
    </w:p>
    <w:p w14:paraId="39EE35A3" w14:textId="7B092E83" w:rsidR="005965D7" w:rsidRDefault="005965D7" w:rsidP="005965D7">
      <w:pPr>
        <w:pStyle w:val="a7"/>
        <w:numPr>
          <w:ilvl w:val="0"/>
          <w:numId w:val="2"/>
        </w:numPr>
        <w:ind w:firstLineChars="0"/>
        <w:jc w:val="left"/>
      </w:pPr>
      <w:r>
        <w:rPr>
          <w:rFonts w:hint="eastAsia"/>
        </w:rPr>
        <w:lastRenderedPageBreak/>
        <w:t>综合分析</w:t>
      </w:r>
    </w:p>
    <w:p w14:paraId="2A4A5B17" w14:textId="76B04606" w:rsidR="00753C7F" w:rsidRDefault="00753C7F" w:rsidP="00753C7F">
      <w:pPr>
        <w:pStyle w:val="a7"/>
        <w:numPr>
          <w:ilvl w:val="1"/>
          <w:numId w:val="2"/>
        </w:numPr>
        <w:ind w:firstLineChars="0"/>
        <w:jc w:val="left"/>
      </w:pPr>
      <w:r>
        <w:rPr>
          <w:rFonts w:hint="eastAsia"/>
        </w:rPr>
        <w:t>资本充足率分析</w:t>
      </w:r>
    </w:p>
    <w:p w14:paraId="637B4AA4" w14:textId="13C9E6C0" w:rsidR="00390B8B" w:rsidRDefault="00390B8B" w:rsidP="00390B8B">
      <w:pPr>
        <w:pStyle w:val="a7"/>
        <w:ind w:left="840" w:firstLineChars="0" w:firstLine="0"/>
        <w:jc w:val="left"/>
      </w:pPr>
      <w:r>
        <w:rPr>
          <w:noProof/>
        </w:rPr>
        <w:drawing>
          <wp:inline distT="0" distB="0" distL="0" distR="0" wp14:anchorId="7AB6A55E" wp14:editId="4BF2F96A">
            <wp:extent cx="4572000" cy="2743200"/>
            <wp:effectExtent l="0" t="0" r="0" b="0"/>
            <wp:docPr id="35" name="图表 35">
              <a:extLst xmlns:a="http://schemas.openxmlformats.org/drawingml/2006/main">
                <a:ext uri="{FF2B5EF4-FFF2-40B4-BE49-F238E27FC236}">
                  <a16:creationId xmlns:a16="http://schemas.microsoft.com/office/drawing/2014/main" id="{A5C0F153-B6D3-4BFD-8E17-D90912189B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3A60128" w14:textId="33F3DBE9" w:rsidR="003C298F" w:rsidRDefault="003C298F" w:rsidP="00390B8B">
      <w:pPr>
        <w:pStyle w:val="a7"/>
        <w:ind w:left="840" w:firstLineChars="0" w:firstLine="0"/>
        <w:jc w:val="left"/>
      </w:pPr>
      <w:r>
        <w:rPr>
          <w:noProof/>
        </w:rPr>
        <w:drawing>
          <wp:inline distT="0" distB="0" distL="0" distR="0" wp14:anchorId="32ACAF1E" wp14:editId="25C6EEBD">
            <wp:extent cx="4572000" cy="2743200"/>
            <wp:effectExtent l="0" t="0" r="0" b="0"/>
            <wp:docPr id="44" name="图表 44">
              <a:extLst xmlns:a="http://schemas.openxmlformats.org/drawingml/2006/main">
                <a:ext uri="{FF2B5EF4-FFF2-40B4-BE49-F238E27FC236}">
                  <a16:creationId xmlns:a16="http://schemas.microsoft.com/office/drawing/2014/main" id="{1C672C1C-C0B7-424B-AC71-CD879F861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2D484613" w14:textId="38B75EE2" w:rsidR="003C298F" w:rsidRDefault="003C298F" w:rsidP="00390B8B">
      <w:pPr>
        <w:pStyle w:val="a7"/>
        <w:ind w:left="840" w:firstLineChars="0" w:firstLine="0"/>
        <w:jc w:val="left"/>
      </w:pPr>
      <w:r>
        <w:rPr>
          <w:noProof/>
        </w:rPr>
        <w:drawing>
          <wp:inline distT="0" distB="0" distL="0" distR="0" wp14:anchorId="479BF527" wp14:editId="4518BD6C">
            <wp:extent cx="4572000" cy="2743200"/>
            <wp:effectExtent l="0" t="0" r="0" b="0"/>
            <wp:docPr id="45" name="图表 45">
              <a:extLst xmlns:a="http://schemas.openxmlformats.org/drawingml/2006/main">
                <a:ext uri="{FF2B5EF4-FFF2-40B4-BE49-F238E27FC236}">
                  <a16:creationId xmlns:a16="http://schemas.microsoft.com/office/drawing/2014/main" id="{377A53E0-13BB-48AB-834F-8B3F871A6D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6DBFCE94" w14:textId="251BA685" w:rsidR="003C298F" w:rsidRDefault="003C298F" w:rsidP="00390B8B">
      <w:pPr>
        <w:pStyle w:val="a7"/>
        <w:ind w:left="840" w:firstLineChars="0" w:firstLine="0"/>
        <w:jc w:val="left"/>
      </w:pPr>
      <w:r>
        <w:rPr>
          <w:rFonts w:hint="eastAsia"/>
        </w:rPr>
        <w:lastRenderedPageBreak/>
        <w:t>可以看到，不论是核心一级资本充足率，还是一级资本充足率，还是资本充足率，招商银行均远远高于兴业银行，说明其有更好的以自有资本吸收损失的能力。</w:t>
      </w:r>
    </w:p>
    <w:p w14:paraId="44769CF6" w14:textId="4037CF0C" w:rsidR="00B45AFE" w:rsidRDefault="00B45AFE" w:rsidP="005965D7">
      <w:pPr>
        <w:pStyle w:val="a7"/>
        <w:numPr>
          <w:ilvl w:val="1"/>
          <w:numId w:val="2"/>
        </w:numPr>
        <w:ind w:firstLineChars="0"/>
        <w:jc w:val="left"/>
      </w:pPr>
      <w:r>
        <w:rPr>
          <w:rFonts w:hint="eastAsia"/>
        </w:rPr>
        <w:t>每股收益分析</w:t>
      </w:r>
    </w:p>
    <w:p w14:paraId="380EC86A" w14:textId="19EC32E9" w:rsidR="008D0E89" w:rsidRDefault="0027353D" w:rsidP="0027353D">
      <w:pPr>
        <w:pStyle w:val="a7"/>
        <w:ind w:left="840" w:firstLineChars="0" w:firstLine="0"/>
        <w:jc w:val="left"/>
      </w:pPr>
      <w:r>
        <w:rPr>
          <w:noProof/>
        </w:rPr>
        <w:drawing>
          <wp:inline distT="0" distB="0" distL="0" distR="0" wp14:anchorId="0DB2DF02" wp14:editId="5BCE2585">
            <wp:extent cx="4956810" cy="2743200"/>
            <wp:effectExtent l="0" t="0" r="15240" b="0"/>
            <wp:docPr id="47" name="图表 47">
              <a:extLst xmlns:a="http://schemas.openxmlformats.org/drawingml/2006/main">
                <a:ext uri="{FF2B5EF4-FFF2-40B4-BE49-F238E27FC236}">
                  <a16:creationId xmlns:a16="http://schemas.microsoft.com/office/drawing/2014/main" id="{104437C6-F256-4511-9129-0DA5BC202B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569C919" w14:textId="0E5C4F64" w:rsidR="0027353D" w:rsidRDefault="00026DD1" w:rsidP="0027353D">
      <w:pPr>
        <w:pStyle w:val="a7"/>
        <w:ind w:left="840" w:firstLineChars="0" w:firstLine="0"/>
        <w:jc w:val="left"/>
      </w:pPr>
      <w:r>
        <w:rPr>
          <w:rFonts w:hint="eastAsia"/>
        </w:rPr>
        <w:t>对于银行股而言，</w:t>
      </w:r>
      <w:r w:rsidR="0027353D">
        <w:rPr>
          <w:rFonts w:hint="eastAsia"/>
        </w:rPr>
        <w:t>相比于净利润，我</w:t>
      </w:r>
      <w:r w:rsidR="00C058A5">
        <w:rPr>
          <w:rFonts w:hint="eastAsia"/>
        </w:rPr>
        <w:t>们更应该去关注公司每股收益的变化</w:t>
      </w:r>
      <w:r w:rsidR="009C5C35">
        <w:rPr>
          <w:rFonts w:hint="eastAsia"/>
        </w:rPr>
        <w:t>。因为大部分银行无法实现内生性增长，不得不向市场再融资，通过定增、配股、发行可转债等一系列手段去补充资本。但我们需要注意到，当公司的股本增多时，我们手里的股权相当于被稀释了，所以每股收益是银行股投资者更应该去关注的指标。</w:t>
      </w:r>
    </w:p>
    <w:p w14:paraId="065E6787" w14:textId="6EB6625C" w:rsidR="003B47BE" w:rsidRDefault="003B47BE" w:rsidP="0027353D">
      <w:pPr>
        <w:pStyle w:val="a7"/>
        <w:ind w:left="840" w:firstLineChars="0" w:firstLine="0"/>
        <w:jc w:val="left"/>
      </w:pPr>
    </w:p>
    <w:p w14:paraId="65E845BA" w14:textId="173FEABE" w:rsidR="003B47BE" w:rsidRDefault="003B47BE" w:rsidP="0027353D">
      <w:pPr>
        <w:pStyle w:val="a7"/>
        <w:ind w:left="840" w:firstLineChars="0" w:firstLine="0"/>
        <w:jc w:val="left"/>
      </w:pPr>
      <w:r>
        <w:rPr>
          <w:rFonts w:hint="eastAsia"/>
        </w:rPr>
        <w:t>从上图可以看出，招</w:t>
      </w:r>
      <w:proofErr w:type="gramStart"/>
      <w:r>
        <w:rPr>
          <w:rFonts w:hint="eastAsia"/>
        </w:rPr>
        <w:t>行银行</w:t>
      </w:r>
      <w:proofErr w:type="gramEnd"/>
      <w:r w:rsidR="009474EE">
        <w:rPr>
          <w:rFonts w:hint="eastAsia"/>
        </w:rPr>
        <w:t>的每股收益呈平稳的上升趋势</w:t>
      </w:r>
      <w:r w:rsidR="00D73A71">
        <w:rPr>
          <w:rFonts w:hint="eastAsia"/>
        </w:rPr>
        <w:t>，以9</w:t>
      </w:r>
      <w:r w:rsidR="00D73A71">
        <w:t>.53</w:t>
      </w:r>
      <w:r w:rsidR="00D73A71">
        <w:rPr>
          <w:rFonts w:hint="eastAsia"/>
        </w:rPr>
        <w:t>%的CAGR远远超过了兴业银行3</w:t>
      </w:r>
      <w:r w:rsidR="00D73A71">
        <w:t>.00</w:t>
      </w:r>
      <w:r w:rsidR="00D73A71">
        <w:rPr>
          <w:rFonts w:hint="eastAsia"/>
        </w:rPr>
        <w:t>%的CAGR</w:t>
      </w:r>
      <w:r w:rsidR="00F936E2">
        <w:rPr>
          <w:rFonts w:hint="eastAsia"/>
        </w:rPr>
        <w:t>，这说明招商银行在过去十年给股东创造了更好的收益。</w:t>
      </w:r>
    </w:p>
    <w:p w14:paraId="348810BC" w14:textId="118207EC" w:rsidR="005965D7" w:rsidRDefault="00DD4178" w:rsidP="005965D7">
      <w:pPr>
        <w:pStyle w:val="a7"/>
        <w:numPr>
          <w:ilvl w:val="1"/>
          <w:numId w:val="2"/>
        </w:numPr>
        <w:ind w:firstLineChars="0"/>
        <w:jc w:val="left"/>
      </w:pPr>
      <w:r>
        <w:t>风险加权资产真实盈利能力</w:t>
      </w:r>
    </w:p>
    <w:p w14:paraId="4FB81587" w14:textId="252C6FA4" w:rsidR="001D10A6" w:rsidRDefault="001D10A6" w:rsidP="001D10A6">
      <w:pPr>
        <w:pStyle w:val="a7"/>
        <w:ind w:left="840" w:firstLineChars="0" w:firstLine="0"/>
        <w:jc w:val="left"/>
      </w:pPr>
      <w:r>
        <w:t>我们希望去考虑单位风险资产能为银行带来多少的收入</w:t>
      </w:r>
      <w:r w:rsidR="000852E1">
        <w:t>，以此来衡量银行在资产端的配置是否优秀。</w:t>
      </w:r>
    </w:p>
    <w:p w14:paraId="34C3BE65" w14:textId="73BAC3EB" w:rsidR="001A5827" w:rsidRDefault="001A5827" w:rsidP="001D10A6">
      <w:pPr>
        <w:pStyle w:val="a7"/>
        <w:ind w:left="840" w:firstLineChars="0" w:firstLine="0"/>
        <w:jc w:val="left"/>
      </w:pPr>
      <w:r>
        <w:rPr>
          <w:noProof/>
        </w:rPr>
        <w:drawing>
          <wp:inline distT="0" distB="0" distL="0" distR="0" wp14:anchorId="6DAB4D50" wp14:editId="1E45912E">
            <wp:extent cx="4572000" cy="2743200"/>
            <wp:effectExtent l="0" t="0" r="0" b="0"/>
            <wp:docPr id="43" name="图表 43">
              <a:extLst xmlns:a="http://schemas.openxmlformats.org/drawingml/2006/main">
                <a:ext uri="{FF2B5EF4-FFF2-40B4-BE49-F238E27FC236}">
                  <a16:creationId xmlns:a16="http://schemas.microsoft.com/office/drawing/2014/main" id="{071CDC58-4B3B-4C2D-BCB5-562DA8AB00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EFB0E6C" w14:textId="4246DE58" w:rsidR="001A5827" w:rsidRDefault="00613F2C" w:rsidP="001D10A6">
      <w:pPr>
        <w:pStyle w:val="a7"/>
        <w:ind w:left="840" w:firstLineChars="0" w:firstLine="0"/>
        <w:jc w:val="left"/>
      </w:pPr>
      <w:r>
        <w:lastRenderedPageBreak/>
        <w:t>我们通过（净利息收入+其他非息收入-信用减值损失-业务及管理费）</w:t>
      </w:r>
      <w:r>
        <w:rPr>
          <w:rFonts w:hint="eastAsia"/>
        </w:rPr>
        <w:t>/</w:t>
      </w:r>
      <w:r>
        <w:t>风险加权资产计算出两家银行的风险资产税前有效收益率</w:t>
      </w:r>
      <w:r w:rsidR="00886770">
        <w:t>。可以看到，招商银行的值要高于兴业银行，但是显然</w:t>
      </w:r>
      <w:r w:rsidR="00735AAA">
        <w:t>，扣除了手续费和佣金后，</w:t>
      </w:r>
      <w:r w:rsidR="00886770">
        <w:t>两家银行的税后利润都不足以满足我国国内系统重要性银行</w:t>
      </w:r>
      <w:r w:rsidR="00886770">
        <w:rPr>
          <w:rFonts w:hint="eastAsia"/>
        </w:rPr>
        <w:t>8</w:t>
      </w:r>
      <w:r w:rsidR="00886770">
        <w:t>.5%的核心一级资本充足率下界。</w:t>
      </w:r>
      <w:r w:rsidR="00A8047C">
        <w:t>所以，以理财为代表的中间业务，依靠其不消耗资本金的特点，成为了银行业务的重中之重。</w:t>
      </w:r>
    </w:p>
    <w:p w14:paraId="7978CFD5" w14:textId="2ACA07E1" w:rsidR="00C37ACD" w:rsidRDefault="00C37ACD" w:rsidP="001D10A6">
      <w:pPr>
        <w:pStyle w:val="a7"/>
        <w:ind w:left="840" w:firstLineChars="0" w:firstLine="0"/>
        <w:jc w:val="left"/>
      </w:pPr>
    </w:p>
    <w:p w14:paraId="239D12FD" w14:textId="3ED70E01" w:rsidR="00C37ACD" w:rsidRDefault="002B54C2" w:rsidP="002B54C2">
      <w:pPr>
        <w:pStyle w:val="a7"/>
        <w:numPr>
          <w:ilvl w:val="0"/>
          <w:numId w:val="2"/>
        </w:numPr>
        <w:ind w:firstLineChars="0"/>
        <w:jc w:val="left"/>
      </w:pPr>
      <w:r>
        <w:rPr>
          <w:rFonts w:hint="eastAsia"/>
        </w:rPr>
        <w:t>挑战与未来</w:t>
      </w:r>
    </w:p>
    <w:p w14:paraId="37433C84" w14:textId="77777777" w:rsidR="00A53DD6" w:rsidRDefault="00120717" w:rsidP="00120717">
      <w:pPr>
        <w:pStyle w:val="a7"/>
        <w:numPr>
          <w:ilvl w:val="1"/>
          <w:numId w:val="2"/>
        </w:numPr>
        <w:ind w:firstLineChars="0"/>
        <w:jc w:val="left"/>
      </w:pPr>
      <w:r>
        <w:rPr>
          <w:rFonts w:hint="eastAsia"/>
        </w:rPr>
        <w:t>行业挑战：</w:t>
      </w:r>
    </w:p>
    <w:p w14:paraId="5B41135B" w14:textId="771CBFBF" w:rsidR="00120717" w:rsidRDefault="00A53DD6" w:rsidP="00A53DD6">
      <w:pPr>
        <w:pStyle w:val="a7"/>
        <w:numPr>
          <w:ilvl w:val="2"/>
          <w:numId w:val="2"/>
        </w:numPr>
        <w:ind w:firstLineChars="0"/>
        <w:jc w:val="left"/>
      </w:pPr>
      <w:r>
        <w:rPr>
          <w:rFonts w:hint="eastAsia"/>
        </w:rPr>
        <w:t>宏观经济的减速降档：</w:t>
      </w:r>
      <w:r w:rsidR="00120717">
        <w:rPr>
          <w:rFonts w:hint="eastAsia"/>
        </w:rPr>
        <w:t>从2</w:t>
      </w:r>
      <w:r w:rsidR="00120717">
        <w:t>1</w:t>
      </w:r>
      <w:r w:rsidR="00120717">
        <w:rPr>
          <w:rFonts w:hint="eastAsia"/>
        </w:rPr>
        <w:t>世纪初到现在，我国宏观经济已经走过了一轮长达2</w:t>
      </w:r>
      <w:r w:rsidR="00120717">
        <w:t>0</w:t>
      </w:r>
      <w:r w:rsidR="00120717">
        <w:rPr>
          <w:rFonts w:hint="eastAsia"/>
        </w:rPr>
        <w:t>年的景气周期</w:t>
      </w:r>
      <w:r w:rsidR="006530D4">
        <w:rPr>
          <w:rFonts w:hint="eastAsia"/>
        </w:rPr>
        <w:t>。但是，经济的发展有其客观的规律，</w:t>
      </w:r>
      <w:r w:rsidR="001D6483">
        <w:rPr>
          <w:rFonts w:hint="eastAsia"/>
        </w:rPr>
        <w:t>我国经济发展已经开始“减速换挡”。</w:t>
      </w:r>
      <w:r w:rsidR="00314BEC">
        <w:rPr>
          <w:rFonts w:hint="eastAsia"/>
        </w:rPr>
        <w:t>经济增速才2</w:t>
      </w:r>
      <w:r w:rsidR="00314BEC">
        <w:t>013</w:t>
      </w:r>
      <w:r w:rsidR="00314BEC">
        <w:rPr>
          <w:rFonts w:hint="eastAsia"/>
        </w:rPr>
        <w:t>年之前的“保”8%，放缓到现在的“难保”6%。</w:t>
      </w:r>
      <w:r w:rsidR="00073E0C">
        <w:rPr>
          <w:rFonts w:hint="eastAsia"/>
        </w:rPr>
        <w:t>我国经济基本已经渡过了靠外需拉动和投资拉动两个阶段，现在已经过度到了内需拉动的阶段</w:t>
      </w:r>
      <w:r w:rsidR="001A04AC">
        <w:rPr>
          <w:rFonts w:hint="eastAsia"/>
        </w:rPr>
        <w:t>。</w:t>
      </w:r>
      <w:r w:rsidR="00EC42BF">
        <w:rPr>
          <w:rFonts w:hint="eastAsia"/>
        </w:rPr>
        <w:t>随着经济的转变，广义货币M</w:t>
      </w:r>
      <w:r w:rsidR="00EC42BF">
        <w:t>2</w:t>
      </w:r>
      <w:r w:rsidR="00EC42BF">
        <w:rPr>
          <w:rFonts w:hint="eastAsia"/>
        </w:rPr>
        <w:t>的增速也随之下降</w:t>
      </w:r>
      <w:r w:rsidR="008E27B1">
        <w:rPr>
          <w:rFonts w:hint="eastAsia"/>
        </w:rPr>
        <w:t>，银行的资产规模增长开始下降，资产质量也开始下降，资产定价的能力愈发的重要。</w:t>
      </w:r>
    </w:p>
    <w:p w14:paraId="24F5049D" w14:textId="155DCAF1" w:rsidR="008C1FC1" w:rsidRDefault="008C1FC1" w:rsidP="00A53DD6">
      <w:pPr>
        <w:pStyle w:val="a7"/>
        <w:numPr>
          <w:ilvl w:val="2"/>
          <w:numId w:val="2"/>
        </w:numPr>
        <w:ind w:firstLineChars="0"/>
        <w:jc w:val="left"/>
      </w:pPr>
      <w:r>
        <w:rPr>
          <w:rFonts w:hint="eastAsia"/>
        </w:rPr>
        <w:t>金融脱媒：</w:t>
      </w:r>
      <w:r w:rsidR="002C440C">
        <w:rPr>
          <w:rFonts w:hint="eastAsia"/>
        </w:rPr>
        <w:t>所谓“金融脱媒”是指资金绕开商业银行体系，直接输送</w:t>
      </w:r>
      <w:proofErr w:type="gramStart"/>
      <w:r w:rsidR="002C440C">
        <w:rPr>
          <w:rFonts w:hint="eastAsia"/>
        </w:rPr>
        <w:t>给需求</w:t>
      </w:r>
      <w:proofErr w:type="gramEnd"/>
      <w:r w:rsidR="002C440C">
        <w:rPr>
          <w:rFonts w:hint="eastAsia"/>
        </w:rPr>
        <w:t>方和融资方，完成资金的体外循环</w:t>
      </w:r>
      <w:r w:rsidR="00936952">
        <w:rPr>
          <w:rFonts w:hint="eastAsia"/>
        </w:rPr>
        <w:t>。</w:t>
      </w:r>
      <w:r w:rsidR="003B4CF7">
        <w:rPr>
          <w:rFonts w:hint="eastAsia"/>
        </w:rPr>
        <w:t>随着经济金融化、金融市场化</w:t>
      </w:r>
      <w:r w:rsidR="00A37250">
        <w:rPr>
          <w:rFonts w:hint="eastAsia"/>
        </w:rPr>
        <w:t>进程</w:t>
      </w:r>
      <w:r w:rsidR="003B4CF7">
        <w:rPr>
          <w:rFonts w:hint="eastAsia"/>
        </w:rPr>
        <w:t>的加快</w:t>
      </w:r>
      <w:r w:rsidR="00FB3C57">
        <w:rPr>
          <w:rFonts w:hint="eastAsia"/>
        </w:rPr>
        <w:t>，传统商业银行主要在金融中介的地位相对降低。</w:t>
      </w:r>
      <w:r w:rsidR="00072E7B">
        <w:rPr>
          <w:rFonts w:hint="eastAsia"/>
        </w:rPr>
        <w:t>近年来</w:t>
      </w:r>
      <w:r w:rsidR="00127C53">
        <w:rPr>
          <w:rFonts w:hint="eastAsia"/>
        </w:rPr>
        <w:t>，监管部门一直在推动“加大直接融资比例”</w:t>
      </w:r>
      <w:r w:rsidR="00F200B5">
        <w:rPr>
          <w:rFonts w:hint="eastAsia"/>
        </w:rPr>
        <w:t>，</w:t>
      </w:r>
      <w:r w:rsidR="006D2BC4">
        <w:rPr>
          <w:rFonts w:hint="eastAsia"/>
        </w:rPr>
        <w:t>大企业用发债代替贷款将是不可逆的大趋势</w:t>
      </w:r>
      <w:r w:rsidR="00F93C89">
        <w:rPr>
          <w:rFonts w:hint="eastAsia"/>
        </w:rPr>
        <w:t>。</w:t>
      </w:r>
    </w:p>
    <w:p w14:paraId="4A3F2CCF" w14:textId="7F04C452" w:rsidR="00B403D4" w:rsidRDefault="00B403D4" w:rsidP="00A53DD6">
      <w:pPr>
        <w:pStyle w:val="a7"/>
        <w:numPr>
          <w:ilvl w:val="2"/>
          <w:numId w:val="2"/>
        </w:numPr>
        <w:ind w:firstLineChars="0"/>
        <w:jc w:val="left"/>
      </w:pPr>
      <w:r>
        <w:rPr>
          <w:rFonts w:hint="eastAsia"/>
        </w:rPr>
        <w:t>利率市场化下的期限错配风险变大：期限错配是银行净息差的重要来源</w:t>
      </w:r>
      <w:r w:rsidR="00D623EB">
        <w:rPr>
          <w:rFonts w:hint="eastAsia"/>
        </w:rPr>
        <w:t>。但是在利率市场化的大背景下</w:t>
      </w:r>
      <w:r w:rsidR="00066980">
        <w:rPr>
          <w:rFonts w:hint="eastAsia"/>
        </w:rPr>
        <w:t>，流动性和利率变得高度相关</w:t>
      </w:r>
      <w:r w:rsidR="00946F61">
        <w:rPr>
          <w:rFonts w:hint="eastAsia"/>
        </w:rPr>
        <w:t>，当市场流动性发生紧缩时，银行的期限错配有利率倒挂的风险。</w:t>
      </w:r>
    </w:p>
    <w:p w14:paraId="74EC75F9" w14:textId="68A8DAAD" w:rsidR="004042FF" w:rsidRDefault="004042FF" w:rsidP="00A53DD6">
      <w:pPr>
        <w:pStyle w:val="a7"/>
        <w:numPr>
          <w:ilvl w:val="2"/>
          <w:numId w:val="2"/>
        </w:numPr>
        <w:ind w:firstLineChars="0"/>
        <w:jc w:val="left"/>
      </w:pPr>
      <w:r>
        <w:rPr>
          <w:rFonts w:hint="eastAsia"/>
        </w:rPr>
        <w:t>互联网金融的冲击：</w:t>
      </w:r>
      <w:r w:rsidR="00220525">
        <w:rPr>
          <w:rFonts w:hint="eastAsia"/>
        </w:rPr>
        <w:t>以支付宝为代表的互联网支付产品正在不断侵蚀零售银行的</w:t>
      </w:r>
      <w:r w:rsidR="009F388C">
        <w:rPr>
          <w:rFonts w:hint="eastAsia"/>
        </w:rPr>
        <w:t>基础：第三方支付、现金管理（余额宝）、个人信贷（花呗）、财富管理（</w:t>
      </w:r>
      <w:proofErr w:type="gramStart"/>
      <w:r w:rsidR="009F388C">
        <w:rPr>
          <w:rFonts w:hint="eastAsia"/>
        </w:rPr>
        <w:t>财付通</w:t>
      </w:r>
      <w:proofErr w:type="gramEnd"/>
      <w:r w:rsidR="009F388C">
        <w:rPr>
          <w:rFonts w:hint="eastAsia"/>
        </w:rPr>
        <w:t>）、转账。</w:t>
      </w:r>
      <w:r w:rsidR="00A977BE">
        <w:rPr>
          <w:rFonts w:hint="eastAsia"/>
        </w:rPr>
        <w:t>基本上除了储蓄和体现功能外，这些互联网金融公司可以提供更好的客户体验、更优惠的补贴政策、更低的收费标准。</w:t>
      </w:r>
    </w:p>
    <w:p w14:paraId="30DA1037" w14:textId="1DB2D192" w:rsidR="00452B68" w:rsidRDefault="00452B68" w:rsidP="00452B68">
      <w:pPr>
        <w:pStyle w:val="a7"/>
        <w:numPr>
          <w:ilvl w:val="1"/>
          <w:numId w:val="2"/>
        </w:numPr>
        <w:ind w:firstLineChars="0"/>
        <w:jc w:val="left"/>
      </w:pPr>
      <w:r>
        <w:rPr>
          <w:rFonts w:hint="eastAsia"/>
        </w:rPr>
        <w:t>招商银行的个性化挑战：</w:t>
      </w:r>
    </w:p>
    <w:p w14:paraId="701E991D" w14:textId="50ACE8BA" w:rsidR="00452B68" w:rsidRDefault="00452B68" w:rsidP="00452B68">
      <w:pPr>
        <w:pStyle w:val="a7"/>
        <w:numPr>
          <w:ilvl w:val="2"/>
          <w:numId w:val="2"/>
        </w:numPr>
        <w:ind w:firstLineChars="0"/>
        <w:jc w:val="left"/>
      </w:pPr>
      <w:r>
        <w:rPr>
          <w:rFonts w:hint="eastAsia"/>
        </w:rPr>
        <w:t>信用卡品牌老化：</w:t>
      </w:r>
      <w:r w:rsidR="0099746A">
        <w:rPr>
          <w:rFonts w:hint="eastAsia"/>
        </w:rPr>
        <w:t>招商银行在2</w:t>
      </w:r>
      <w:r w:rsidR="0099746A">
        <w:t>003</w:t>
      </w:r>
      <w:r w:rsidR="0099746A">
        <w:rPr>
          <w:rFonts w:hint="eastAsia"/>
        </w:rPr>
        <w:t>年发行国内首张符合国际标准的信用卡，用时四年</w:t>
      </w:r>
      <w:r w:rsidR="003E05F0">
        <w:rPr>
          <w:rFonts w:hint="eastAsia"/>
        </w:rPr>
        <w:t>即实现了盈利，这一契机被写入美国哈佛商学院的教材</w:t>
      </w:r>
      <w:r w:rsidR="00AD7A16">
        <w:rPr>
          <w:rFonts w:hint="eastAsia"/>
        </w:rPr>
        <w:t>。最早用上信用卡的8</w:t>
      </w:r>
      <w:r w:rsidR="00AD7A16">
        <w:t>0</w:t>
      </w:r>
      <w:r w:rsidR="00AD7A16">
        <w:rPr>
          <w:rFonts w:hint="eastAsia"/>
        </w:rPr>
        <w:t>后大学生，现在成为了中国经济的支柱。但是，近年来招商银行的信用增长似乎出现了疲态。信用卡消费的门槛并不是很高，随着9</w:t>
      </w:r>
      <w:r w:rsidR="00AD7A16">
        <w:t>0</w:t>
      </w:r>
      <w:r w:rsidR="00AD7A16">
        <w:rPr>
          <w:rFonts w:hint="eastAsia"/>
        </w:rPr>
        <w:t>-</w:t>
      </w:r>
      <w:r w:rsidR="00AD7A16">
        <w:t>00</w:t>
      </w:r>
      <w:r w:rsidR="00AD7A16">
        <w:rPr>
          <w:rFonts w:hint="eastAsia"/>
        </w:rPr>
        <w:t>后步入社会，国有大行在信用卡领域</w:t>
      </w:r>
      <w:r w:rsidR="000F74FA">
        <w:rPr>
          <w:rFonts w:hint="eastAsia"/>
        </w:rPr>
        <w:t>也开始发力。</w:t>
      </w:r>
      <w:r w:rsidR="00282176">
        <w:rPr>
          <w:rFonts w:hint="eastAsia"/>
        </w:rPr>
        <w:t>十年前，招行信用卡是白领、金领的象征。而随着时代的变迁，商业的发展，粉丝营销都开始渗透到信用卡领域，例如交通银行近期推出了王</w:t>
      </w:r>
      <w:proofErr w:type="gramStart"/>
      <w:r w:rsidR="00282176">
        <w:rPr>
          <w:rFonts w:hint="eastAsia"/>
        </w:rPr>
        <w:t>一</w:t>
      </w:r>
      <w:proofErr w:type="gramEnd"/>
      <w:r w:rsidR="00282176">
        <w:rPr>
          <w:rFonts w:hint="eastAsia"/>
        </w:rPr>
        <w:t>博联名信用卡等。诸如此类的一系列手段，无疑不对招商银行的信用卡业务造成了冲击</w:t>
      </w:r>
      <w:r w:rsidR="005258CE">
        <w:rPr>
          <w:rFonts w:hint="eastAsia"/>
        </w:rPr>
        <w:t>。能否维持住信用卡领域遥遥领先的位置，</w:t>
      </w:r>
      <w:r w:rsidR="00282176">
        <w:rPr>
          <w:rFonts w:hint="eastAsia"/>
        </w:rPr>
        <w:t>也是招商银行未来发展的一大疑点。</w:t>
      </w:r>
    </w:p>
    <w:p w14:paraId="1468F4F9" w14:textId="5BCA4E38" w:rsidR="00CC5933" w:rsidRDefault="00CC5933" w:rsidP="00452B68">
      <w:pPr>
        <w:pStyle w:val="a7"/>
        <w:numPr>
          <w:ilvl w:val="2"/>
          <w:numId w:val="2"/>
        </w:numPr>
        <w:ind w:firstLineChars="0"/>
        <w:jc w:val="left"/>
      </w:pPr>
      <w:r>
        <w:rPr>
          <w:rFonts w:hint="eastAsia"/>
        </w:rPr>
        <w:t>理财业务竞争激烈：</w:t>
      </w:r>
      <w:r w:rsidR="008C5EB2">
        <w:rPr>
          <w:rFonts w:hint="eastAsia"/>
        </w:rPr>
        <w:t>前文有提到，以理财为代表的中间业务，是现在以及未来商业银行发展的重中之重。</w:t>
      </w:r>
      <w:r w:rsidR="00875BDF">
        <w:rPr>
          <w:rFonts w:hint="eastAsia"/>
        </w:rPr>
        <w:t>招商银行虽然有着雄厚的零售客户基础，但在未来能否抵挡住</w:t>
      </w:r>
      <w:proofErr w:type="gramStart"/>
      <w:r w:rsidR="00875BDF">
        <w:rPr>
          <w:rFonts w:hint="eastAsia"/>
        </w:rPr>
        <w:t>蚂蚁金服</w:t>
      </w:r>
      <w:proofErr w:type="gramEnd"/>
      <w:r w:rsidR="00875BDF">
        <w:rPr>
          <w:rFonts w:hint="eastAsia"/>
        </w:rPr>
        <w:t>、东方财富等代销渠道的侵蚀犹未可知。</w:t>
      </w:r>
    </w:p>
    <w:p w14:paraId="7B27A0FE" w14:textId="1784D52C" w:rsidR="001A34E8" w:rsidRDefault="001A34E8" w:rsidP="00452B68">
      <w:pPr>
        <w:pStyle w:val="a7"/>
        <w:numPr>
          <w:ilvl w:val="2"/>
          <w:numId w:val="2"/>
        </w:numPr>
        <w:ind w:firstLineChars="0"/>
        <w:jc w:val="left"/>
      </w:pPr>
      <w:r>
        <w:rPr>
          <w:rFonts w:hint="eastAsia"/>
        </w:rPr>
        <w:t>资产配置的不平衡：招商银行的资产配置，尤其是对公贷款的投放差异性很大。在一些主要投放的领域不良率很低，但在其他的一些板块，则有着明显的差距。显然，不同时代的经济支柱是不同的，招商银行需要与时俱进，</w:t>
      </w:r>
      <w:r w:rsidR="00343387">
        <w:rPr>
          <w:rFonts w:hint="eastAsia"/>
        </w:rPr>
        <w:t>提高不同领域的贷款投放水平。</w:t>
      </w:r>
    </w:p>
    <w:p w14:paraId="5DF2A6C4" w14:textId="5FA5F70B" w:rsidR="004D5C06" w:rsidRDefault="00B7348C" w:rsidP="00B7348C">
      <w:pPr>
        <w:pStyle w:val="a7"/>
        <w:numPr>
          <w:ilvl w:val="0"/>
          <w:numId w:val="2"/>
        </w:numPr>
        <w:ind w:firstLineChars="0"/>
        <w:jc w:val="left"/>
      </w:pPr>
      <w:r>
        <w:rPr>
          <w:rFonts w:hint="eastAsia"/>
        </w:rPr>
        <w:t>估值</w:t>
      </w:r>
    </w:p>
    <w:p w14:paraId="7D0356C8" w14:textId="4B68E677" w:rsidR="00B7348C" w:rsidRDefault="006524AC" w:rsidP="00B7348C">
      <w:pPr>
        <w:pStyle w:val="a7"/>
        <w:ind w:left="360" w:firstLineChars="0" w:firstLine="0"/>
        <w:jc w:val="left"/>
      </w:pPr>
      <w:r>
        <w:rPr>
          <w:rFonts w:hint="eastAsia"/>
        </w:rPr>
        <w:lastRenderedPageBreak/>
        <w:t>我计划根据是否计入风险加权资产将银行分为两大块业务：其一是从社会上吸收负债去配置风险加权资产，承担其风险并获取相应收益；</w:t>
      </w:r>
      <w:r w:rsidR="00D60918">
        <w:rPr>
          <w:rFonts w:hint="eastAsia"/>
        </w:rPr>
        <w:t>其二是银行手续费等中间业务。</w:t>
      </w:r>
      <w:r w:rsidR="009F5B89">
        <w:rPr>
          <w:rFonts w:hint="eastAsia"/>
        </w:rPr>
        <w:t>其中，前者由于《资本办法》等监管不得不降低杠杆倍数，而后者则因为几乎没有任何风险，并没有任何限制。</w:t>
      </w:r>
      <w:r w:rsidR="00AD01D9">
        <w:rPr>
          <w:rFonts w:hint="eastAsia"/>
        </w:rPr>
        <w:t>所以，我认为估值应当分别对这两方面估值，不过二者之间也有着密不可分的联系。</w:t>
      </w:r>
      <w:r w:rsidR="008C69CA">
        <w:rPr>
          <w:rFonts w:hint="eastAsia"/>
        </w:rPr>
        <w:t>与此同时，我们需要注意到非</w:t>
      </w:r>
      <w:proofErr w:type="gramStart"/>
      <w:r w:rsidR="008C69CA">
        <w:rPr>
          <w:rFonts w:hint="eastAsia"/>
        </w:rPr>
        <w:t>息收入</w:t>
      </w:r>
      <w:proofErr w:type="gramEnd"/>
      <w:r w:rsidR="008C69CA">
        <w:rPr>
          <w:rFonts w:hint="eastAsia"/>
        </w:rPr>
        <w:t>中的其他非</w:t>
      </w:r>
      <w:proofErr w:type="gramStart"/>
      <w:r w:rsidR="008C69CA">
        <w:rPr>
          <w:rFonts w:hint="eastAsia"/>
        </w:rPr>
        <w:t>息收入</w:t>
      </w:r>
      <w:proofErr w:type="gramEnd"/>
      <w:r w:rsidR="008C69CA">
        <w:rPr>
          <w:rFonts w:hint="eastAsia"/>
        </w:rPr>
        <w:t>应该属于第一部分，因为其主要是投资收益，有对应的风险资产。</w:t>
      </w:r>
    </w:p>
    <w:p w14:paraId="53611C8E" w14:textId="0D884F5E" w:rsidR="003A2E56" w:rsidRDefault="003A2E56" w:rsidP="003E3C3F">
      <w:pPr>
        <w:pStyle w:val="a7"/>
        <w:ind w:left="420" w:firstLineChars="0" w:firstLine="0"/>
        <w:jc w:val="left"/>
      </w:pPr>
    </w:p>
    <w:p w14:paraId="4505C07B" w14:textId="6D2728B7" w:rsidR="00000000" w:rsidRPr="00FE17CF" w:rsidRDefault="003E3C3F" w:rsidP="00FE17CF">
      <w:pPr>
        <w:pStyle w:val="a7"/>
        <w:numPr>
          <w:ilvl w:val="0"/>
          <w:numId w:val="14"/>
        </w:numPr>
        <w:ind w:firstLineChars="0"/>
        <w:jc w:val="left"/>
      </w:pPr>
      <w:r>
        <w:rPr>
          <w:rFonts w:hint="eastAsia"/>
        </w:rPr>
        <w:t>假设2</w:t>
      </w:r>
      <w:r>
        <w:t>021</w:t>
      </w:r>
      <w:r>
        <w:rPr>
          <w:rFonts w:hint="eastAsia"/>
        </w:rPr>
        <w:t>年总资产增速为1</w:t>
      </w:r>
      <w:r>
        <w:t>1</w:t>
      </w:r>
      <w:r>
        <w:rPr>
          <w:rFonts w:hint="eastAsia"/>
        </w:rPr>
        <w:t>%，风险资产与总资产的比例为6</w:t>
      </w:r>
      <w:r>
        <w:t>0</w:t>
      </w:r>
      <w:r>
        <w:rPr>
          <w:rFonts w:hint="eastAsia"/>
        </w:rPr>
        <w:t>%</w:t>
      </w:r>
      <w:r w:rsidR="00911F40">
        <w:rPr>
          <w:rFonts w:hint="eastAsia"/>
        </w:rPr>
        <w:t>，则2</w:t>
      </w:r>
      <w:r w:rsidR="00911F40">
        <w:t>021</w:t>
      </w:r>
      <w:r w:rsidR="00911F40">
        <w:rPr>
          <w:rFonts w:hint="eastAsia"/>
        </w:rPr>
        <w:t>年风险加权资产为5</w:t>
      </w:r>
      <w:r w:rsidR="00911F40">
        <w:t>5687</w:t>
      </w:r>
      <w:r w:rsidR="00911F40">
        <w:rPr>
          <w:rFonts w:hint="eastAsia"/>
        </w:rPr>
        <w:t>.</w:t>
      </w:r>
      <w:r w:rsidR="0067718C">
        <w:t>24</w:t>
      </w:r>
      <w:r w:rsidR="00911F40">
        <w:rPr>
          <w:rFonts w:hint="eastAsia"/>
        </w:rPr>
        <w:t>亿元。</w:t>
      </w:r>
      <w:r w:rsidR="00F906DC">
        <w:rPr>
          <w:rFonts w:hint="eastAsia"/>
        </w:rPr>
        <w:t>假设招商银行2</w:t>
      </w:r>
      <w:r w:rsidR="00F906DC">
        <w:t>021</w:t>
      </w:r>
      <w:r w:rsidR="00F906DC">
        <w:rPr>
          <w:rFonts w:hint="eastAsia"/>
        </w:rPr>
        <w:t>年风险资产税前有效收益率保持1%，则其风险资产对应的税前有效收益为5</w:t>
      </w:r>
      <w:r w:rsidR="00F906DC">
        <w:t>56.87</w:t>
      </w:r>
      <w:r w:rsidR="00F906DC">
        <w:rPr>
          <w:rFonts w:hint="eastAsia"/>
        </w:rPr>
        <w:t>亿元。</w:t>
      </w:r>
      <w:r w:rsidR="008B202C">
        <w:rPr>
          <w:rFonts w:hint="eastAsia"/>
        </w:rPr>
        <w:t>假设2</w:t>
      </w:r>
      <w:r w:rsidR="008B202C">
        <w:t>021</w:t>
      </w:r>
      <w:r w:rsidR="008B202C">
        <w:rPr>
          <w:rFonts w:hint="eastAsia"/>
        </w:rPr>
        <w:t>年招商银行手续费收入增速为1</w:t>
      </w:r>
      <w:r w:rsidR="008B202C">
        <w:t>2</w:t>
      </w:r>
      <w:r w:rsidR="008B202C">
        <w:rPr>
          <w:rFonts w:hint="eastAsia"/>
        </w:rPr>
        <w:t>%</w:t>
      </w:r>
      <w:r w:rsidR="00AD006C">
        <w:rPr>
          <w:rFonts w:hint="eastAsia"/>
        </w:rPr>
        <w:t>，则招商银行2</w:t>
      </w:r>
      <w:r w:rsidR="00AD006C">
        <w:t>021</w:t>
      </w:r>
      <w:r w:rsidR="00AD006C">
        <w:rPr>
          <w:rFonts w:hint="eastAsia"/>
        </w:rPr>
        <w:t>年手续费收入为</w:t>
      </w:r>
      <w:r w:rsidR="00D44CF6">
        <w:rPr>
          <w:rFonts w:hint="eastAsia"/>
        </w:rPr>
        <w:t>8</w:t>
      </w:r>
      <w:r w:rsidR="00D44CF6">
        <w:t>90.24</w:t>
      </w:r>
      <w:r w:rsidR="00D44CF6">
        <w:rPr>
          <w:rFonts w:hint="eastAsia"/>
        </w:rPr>
        <w:t>亿元</w:t>
      </w:r>
      <w:r w:rsidR="006D3968">
        <w:rPr>
          <w:rFonts w:hint="eastAsia"/>
        </w:rPr>
        <w:t>，则税前净利润为1</w:t>
      </w:r>
      <w:r w:rsidR="006D3968">
        <w:t>447.11</w:t>
      </w:r>
      <w:r w:rsidR="006D3968">
        <w:rPr>
          <w:rFonts w:hint="eastAsia"/>
        </w:rPr>
        <w:t>亿元。</w:t>
      </w:r>
      <w:r w:rsidR="00CA400F">
        <w:rPr>
          <w:rFonts w:hint="eastAsia"/>
        </w:rPr>
        <w:t>税率取2</w:t>
      </w:r>
      <w:r w:rsidR="00CA400F">
        <w:t>0</w:t>
      </w:r>
      <w:r w:rsidR="00CA400F">
        <w:rPr>
          <w:rFonts w:hint="eastAsia"/>
        </w:rPr>
        <w:t>%，则2</w:t>
      </w:r>
      <w:r w:rsidR="00CA400F">
        <w:t>021</w:t>
      </w:r>
      <w:r w:rsidR="00CA400F">
        <w:rPr>
          <w:rFonts w:hint="eastAsia"/>
        </w:rPr>
        <w:t>年净利润为1</w:t>
      </w:r>
      <w:r w:rsidR="00CA400F">
        <w:t>157.69</w:t>
      </w:r>
      <w:r w:rsidR="00CA400F">
        <w:rPr>
          <w:rFonts w:hint="eastAsia"/>
        </w:rPr>
        <w:t>亿元。</w:t>
      </w:r>
      <w:r w:rsidR="008B37FD">
        <w:rPr>
          <w:rFonts w:hint="eastAsia"/>
        </w:rPr>
        <w:t>假设核心一级资本充足率上升至1</w:t>
      </w:r>
      <w:r w:rsidR="008B37FD">
        <w:t>2.5</w:t>
      </w:r>
      <w:r w:rsidR="008B37FD">
        <w:rPr>
          <w:rFonts w:hint="eastAsia"/>
        </w:rPr>
        <w:t>%，则需要补充资本金缺口6</w:t>
      </w:r>
      <w:r w:rsidR="008B37FD">
        <w:t>82.62</w:t>
      </w:r>
      <w:r w:rsidR="008B37FD">
        <w:rPr>
          <w:rFonts w:hint="eastAsia"/>
        </w:rPr>
        <w:t>亿元。</w:t>
      </w:r>
      <w:r w:rsidR="00A20970" w:rsidRPr="00FE17CF">
        <w:rPr>
          <w:rFonts w:hint="eastAsia"/>
        </w:rPr>
        <w:t>鉴于计算出来的实际可分红利润确定性较强（只要招商银行能维持住其手续费收入的稳定增长），拍脑袋给</w:t>
      </w:r>
      <w:r w:rsidR="00A20970" w:rsidRPr="00FE17CF">
        <w:t>30</w:t>
      </w:r>
      <w:r w:rsidR="00A20970" w:rsidRPr="00FE17CF">
        <w:rPr>
          <w:rFonts w:hint="eastAsia"/>
        </w:rPr>
        <w:t>倍，约为</w:t>
      </w:r>
      <w:r w:rsidR="00A20970" w:rsidRPr="00FE17CF">
        <w:t>1</w:t>
      </w:r>
      <w:r w:rsidR="00FE17CF">
        <w:t>5</w:t>
      </w:r>
      <w:r w:rsidR="00A20970" w:rsidRPr="00FE17CF">
        <w:t>000</w:t>
      </w:r>
      <w:r w:rsidR="00A20970" w:rsidRPr="00FE17CF">
        <w:rPr>
          <w:rFonts w:hint="eastAsia"/>
        </w:rPr>
        <w:t>亿市值，对应股价</w:t>
      </w:r>
      <w:r w:rsidR="000E0219">
        <w:t>59.5</w:t>
      </w:r>
      <w:r w:rsidR="00A20970" w:rsidRPr="00FE17CF">
        <w:rPr>
          <w:rFonts w:hint="eastAsia"/>
        </w:rPr>
        <w:t>元（当前股价</w:t>
      </w:r>
      <w:r w:rsidR="00A20970" w:rsidRPr="00FE17CF">
        <w:t>56.3</w:t>
      </w:r>
      <w:r w:rsidR="00A20970" w:rsidRPr="00FE17CF">
        <w:rPr>
          <w:rFonts w:hint="eastAsia"/>
        </w:rPr>
        <w:t>元）</w:t>
      </w:r>
      <w:r w:rsidR="00CD4B70">
        <w:rPr>
          <w:rFonts w:hint="eastAsia"/>
        </w:rPr>
        <w:t>。</w:t>
      </w:r>
      <w:bookmarkStart w:id="4" w:name="_GoBack"/>
      <w:bookmarkEnd w:id="4"/>
    </w:p>
    <w:p w14:paraId="41598996" w14:textId="15AC0F33" w:rsidR="003E3C3F" w:rsidRPr="00FE17CF" w:rsidRDefault="003E3C3F" w:rsidP="003E3C3F">
      <w:pPr>
        <w:pStyle w:val="a7"/>
        <w:ind w:left="420" w:firstLineChars="0" w:firstLine="0"/>
        <w:jc w:val="left"/>
        <w:rPr>
          <w:rFonts w:hint="eastAsia"/>
        </w:rPr>
      </w:pPr>
    </w:p>
    <w:p w14:paraId="36DCE2CD" w14:textId="6B093547" w:rsidR="00AB6D00" w:rsidRPr="008E5E84" w:rsidRDefault="00AB6D00" w:rsidP="003E3C3F">
      <w:pPr>
        <w:pStyle w:val="a7"/>
        <w:ind w:left="420" w:firstLineChars="0" w:firstLine="0"/>
        <w:jc w:val="left"/>
        <w:rPr>
          <w:rFonts w:hint="eastAsia"/>
        </w:rPr>
      </w:pPr>
    </w:p>
    <w:sectPr w:rsidR="00AB6D00" w:rsidRPr="008E5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DAA8" w14:textId="77777777" w:rsidR="00A20970" w:rsidRDefault="00A20970" w:rsidP="00BB1F03">
      <w:r>
        <w:separator/>
      </w:r>
    </w:p>
  </w:endnote>
  <w:endnote w:type="continuationSeparator" w:id="0">
    <w:p w14:paraId="7BB49E8B" w14:textId="77777777" w:rsidR="00A20970" w:rsidRDefault="00A20970" w:rsidP="00BB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1AC10" w14:textId="77777777" w:rsidR="00A20970" w:rsidRDefault="00A20970" w:rsidP="00BB1F03">
      <w:r>
        <w:separator/>
      </w:r>
    </w:p>
  </w:footnote>
  <w:footnote w:type="continuationSeparator" w:id="0">
    <w:p w14:paraId="001DF4FB" w14:textId="77777777" w:rsidR="00A20970" w:rsidRDefault="00A20970" w:rsidP="00BB1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3551"/>
    <w:multiLevelType w:val="hybridMultilevel"/>
    <w:tmpl w:val="2AC065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3E6E45"/>
    <w:multiLevelType w:val="hybridMultilevel"/>
    <w:tmpl w:val="A3BE1DE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C04CBC"/>
    <w:multiLevelType w:val="hybridMultilevel"/>
    <w:tmpl w:val="B2142FE2"/>
    <w:lvl w:ilvl="0" w:tplc="EC0AF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040BE1"/>
    <w:multiLevelType w:val="hybridMultilevel"/>
    <w:tmpl w:val="8194AA44"/>
    <w:lvl w:ilvl="0" w:tplc="2E8621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786163"/>
    <w:multiLevelType w:val="hybridMultilevel"/>
    <w:tmpl w:val="B57011FC"/>
    <w:lvl w:ilvl="0" w:tplc="4AF65362">
      <w:start w:val="1"/>
      <w:numFmt w:val="bullet"/>
      <w:lvlText w:val="•"/>
      <w:lvlJc w:val="left"/>
      <w:pPr>
        <w:tabs>
          <w:tab w:val="num" w:pos="720"/>
        </w:tabs>
        <w:ind w:left="720" w:hanging="360"/>
      </w:pPr>
      <w:rPr>
        <w:rFonts w:ascii="Arial" w:hAnsi="Arial" w:hint="default"/>
      </w:rPr>
    </w:lvl>
    <w:lvl w:ilvl="1" w:tplc="4BEAA2F6" w:tentative="1">
      <w:start w:val="1"/>
      <w:numFmt w:val="bullet"/>
      <w:lvlText w:val="•"/>
      <w:lvlJc w:val="left"/>
      <w:pPr>
        <w:tabs>
          <w:tab w:val="num" w:pos="1440"/>
        </w:tabs>
        <w:ind w:left="1440" w:hanging="360"/>
      </w:pPr>
      <w:rPr>
        <w:rFonts w:ascii="Arial" w:hAnsi="Arial" w:hint="default"/>
      </w:rPr>
    </w:lvl>
    <w:lvl w:ilvl="2" w:tplc="5B9AB200" w:tentative="1">
      <w:start w:val="1"/>
      <w:numFmt w:val="bullet"/>
      <w:lvlText w:val="•"/>
      <w:lvlJc w:val="left"/>
      <w:pPr>
        <w:tabs>
          <w:tab w:val="num" w:pos="2160"/>
        </w:tabs>
        <w:ind w:left="2160" w:hanging="360"/>
      </w:pPr>
      <w:rPr>
        <w:rFonts w:ascii="Arial" w:hAnsi="Arial" w:hint="default"/>
      </w:rPr>
    </w:lvl>
    <w:lvl w:ilvl="3" w:tplc="539E40B4" w:tentative="1">
      <w:start w:val="1"/>
      <w:numFmt w:val="bullet"/>
      <w:lvlText w:val="•"/>
      <w:lvlJc w:val="left"/>
      <w:pPr>
        <w:tabs>
          <w:tab w:val="num" w:pos="2880"/>
        </w:tabs>
        <w:ind w:left="2880" w:hanging="360"/>
      </w:pPr>
      <w:rPr>
        <w:rFonts w:ascii="Arial" w:hAnsi="Arial" w:hint="default"/>
      </w:rPr>
    </w:lvl>
    <w:lvl w:ilvl="4" w:tplc="AEEABEBE" w:tentative="1">
      <w:start w:val="1"/>
      <w:numFmt w:val="bullet"/>
      <w:lvlText w:val="•"/>
      <w:lvlJc w:val="left"/>
      <w:pPr>
        <w:tabs>
          <w:tab w:val="num" w:pos="3600"/>
        </w:tabs>
        <w:ind w:left="3600" w:hanging="360"/>
      </w:pPr>
      <w:rPr>
        <w:rFonts w:ascii="Arial" w:hAnsi="Arial" w:hint="default"/>
      </w:rPr>
    </w:lvl>
    <w:lvl w:ilvl="5" w:tplc="15828A8E" w:tentative="1">
      <w:start w:val="1"/>
      <w:numFmt w:val="bullet"/>
      <w:lvlText w:val="•"/>
      <w:lvlJc w:val="left"/>
      <w:pPr>
        <w:tabs>
          <w:tab w:val="num" w:pos="4320"/>
        </w:tabs>
        <w:ind w:left="4320" w:hanging="360"/>
      </w:pPr>
      <w:rPr>
        <w:rFonts w:ascii="Arial" w:hAnsi="Arial" w:hint="default"/>
      </w:rPr>
    </w:lvl>
    <w:lvl w:ilvl="6" w:tplc="FF18ECD0" w:tentative="1">
      <w:start w:val="1"/>
      <w:numFmt w:val="bullet"/>
      <w:lvlText w:val="•"/>
      <w:lvlJc w:val="left"/>
      <w:pPr>
        <w:tabs>
          <w:tab w:val="num" w:pos="5040"/>
        </w:tabs>
        <w:ind w:left="5040" w:hanging="360"/>
      </w:pPr>
      <w:rPr>
        <w:rFonts w:ascii="Arial" w:hAnsi="Arial" w:hint="default"/>
      </w:rPr>
    </w:lvl>
    <w:lvl w:ilvl="7" w:tplc="7CE26D0A" w:tentative="1">
      <w:start w:val="1"/>
      <w:numFmt w:val="bullet"/>
      <w:lvlText w:val="•"/>
      <w:lvlJc w:val="left"/>
      <w:pPr>
        <w:tabs>
          <w:tab w:val="num" w:pos="5760"/>
        </w:tabs>
        <w:ind w:left="5760" w:hanging="360"/>
      </w:pPr>
      <w:rPr>
        <w:rFonts w:ascii="Arial" w:hAnsi="Arial" w:hint="default"/>
      </w:rPr>
    </w:lvl>
    <w:lvl w:ilvl="8" w:tplc="718A4A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B50683"/>
    <w:multiLevelType w:val="hybridMultilevel"/>
    <w:tmpl w:val="D9C4B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1A19A9"/>
    <w:multiLevelType w:val="hybridMultilevel"/>
    <w:tmpl w:val="80A0EE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7473482"/>
    <w:multiLevelType w:val="hybridMultilevel"/>
    <w:tmpl w:val="2842EF1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324482"/>
    <w:multiLevelType w:val="hybridMultilevel"/>
    <w:tmpl w:val="C96A7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A75FEA"/>
    <w:multiLevelType w:val="hybridMultilevel"/>
    <w:tmpl w:val="9ECC7FE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843542D"/>
    <w:multiLevelType w:val="hybridMultilevel"/>
    <w:tmpl w:val="66343F68"/>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3">
      <w:start w:val="1"/>
      <w:numFmt w:val="bullet"/>
      <w:lvlText w:val=""/>
      <w:lvlJc w:val="left"/>
      <w:pPr>
        <w:ind w:left="2263"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BED5D7F"/>
    <w:multiLevelType w:val="hybridMultilevel"/>
    <w:tmpl w:val="3CCCAC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E3D5D50"/>
    <w:multiLevelType w:val="hybridMultilevel"/>
    <w:tmpl w:val="360AAF0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B583270"/>
    <w:multiLevelType w:val="hybridMultilevel"/>
    <w:tmpl w:val="4D1E003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8"/>
  </w:num>
  <w:num w:numId="4">
    <w:abstractNumId w:val="1"/>
  </w:num>
  <w:num w:numId="5">
    <w:abstractNumId w:val="10"/>
  </w:num>
  <w:num w:numId="6">
    <w:abstractNumId w:val="6"/>
  </w:num>
  <w:num w:numId="7">
    <w:abstractNumId w:val="0"/>
  </w:num>
  <w:num w:numId="8">
    <w:abstractNumId w:val="5"/>
  </w:num>
  <w:num w:numId="9">
    <w:abstractNumId w:val="13"/>
  </w:num>
  <w:num w:numId="10">
    <w:abstractNumId w:val="11"/>
  </w:num>
  <w:num w:numId="11">
    <w:abstractNumId w:val="7"/>
  </w:num>
  <w:num w:numId="12">
    <w:abstractNumId w:val="1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E5"/>
    <w:rsid w:val="00002C79"/>
    <w:rsid w:val="00013CED"/>
    <w:rsid w:val="00022A98"/>
    <w:rsid w:val="00023629"/>
    <w:rsid w:val="00026DD1"/>
    <w:rsid w:val="0003017A"/>
    <w:rsid w:val="00030C1E"/>
    <w:rsid w:val="00033D2B"/>
    <w:rsid w:val="00037F0B"/>
    <w:rsid w:val="000423BE"/>
    <w:rsid w:val="00043114"/>
    <w:rsid w:val="00045DCE"/>
    <w:rsid w:val="00051F90"/>
    <w:rsid w:val="00066980"/>
    <w:rsid w:val="00066E05"/>
    <w:rsid w:val="00071F97"/>
    <w:rsid w:val="00072E7B"/>
    <w:rsid w:val="00072E7C"/>
    <w:rsid w:val="00073E0C"/>
    <w:rsid w:val="00081115"/>
    <w:rsid w:val="000852E1"/>
    <w:rsid w:val="00091EC4"/>
    <w:rsid w:val="00094D0B"/>
    <w:rsid w:val="00095D9E"/>
    <w:rsid w:val="000A2CE1"/>
    <w:rsid w:val="000A6B6E"/>
    <w:rsid w:val="000B536E"/>
    <w:rsid w:val="000C07DF"/>
    <w:rsid w:val="000C667F"/>
    <w:rsid w:val="000C6EA7"/>
    <w:rsid w:val="000D42C0"/>
    <w:rsid w:val="000D7319"/>
    <w:rsid w:val="000E0219"/>
    <w:rsid w:val="000E773B"/>
    <w:rsid w:val="000F34E2"/>
    <w:rsid w:val="000F5EF2"/>
    <w:rsid w:val="000F74FA"/>
    <w:rsid w:val="001035E0"/>
    <w:rsid w:val="00106CE1"/>
    <w:rsid w:val="0011298E"/>
    <w:rsid w:val="00114BF0"/>
    <w:rsid w:val="00120717"/>
    <w:rsid w:val="00127563"/>
    <w:rsid w:val="00127C53"/>
    <w:rsid w:val="0013065A"/>
    <w:rsid w:val="00135F7F"/>
    <w:rsid w:val="001370D6"/>
    <w:rsid w:val="00140B5F"/>
    <w:rsid w:val="001553BA"/>
    <w:rsid w:val="0016540F"/>
    <w:rsid w:val="0017335C"/>
    <w:rsid w:val="0017415A"/>
    <w:rsid w:val="00174F83"/>
    <w:rsid w:val="00184ACD"/>
    <w:rsid w:val="001874BF"/>
    <w:rsid w:val="001945AE"/>
    <w:rsid w:val="001A04AC"/>
    <w:rsid w:val="001A34E8"/>
    <w:rsid w:val="001A363A"/>
    <w:rsid w:val="001A46BB"/>
    <w:rsid w:val="001A5827"/>
    <w:rsid w:val="001B686B"/>
    <w:rsid w:val="001B79E9"/>
    <w:rsid w:val="001C2CF7"/>
    <w:rsid w:val="001C646E"/>
    <w:rsid w:val="001D10A6"/>
    <w:rsid w:val="001D3DEB"/>
    <w:rsid w:val="001D6483"/>
    <w:rsid w:val="001E5963"/>
    <w:rsid w:val="001E6403"/>
    <w:rsid w:val="001F0CF2"/>
    <w:rsid w:val="001F56BB"/>
    <w:rsid w:val="0020458C"/>
    <w:rsid w:val="002162A6"/>
    <w:rsid w:val="00220525"/>
    <w:rsid w:val="0022369D"/>
    <w:rsid w:val="00231943"/>
    <w:rsid w:val="0024152A"/>
    <w:rsid w:val="00251409"/>
    <w:rsid w:val="00253FDD"/>
    <w:rsid w:val="00254E29"/>
    <w:rsid w:val="002639A4"/>
    <w:rsid w:val="00271B7D"/>
    <w:rsid w:val="00272948"/>
    <w:rsid w:val="0027353D"/>
    <w:rsid w:val="00282176"/>
    <w:rsid w:val="002B084D"/>
    <w:rsid w:val="002B3AC7"/>
    <w:rsid w:val="002B3FB6"/>
    <w:rsid w:val="002B54C2"/>
    <w:rsid w:val="002B6E44"/>
    <w:rsid w:val="002C440C"/>
    <w:rsid w:val="002D0BC2"/>
    <w:rsid w:val="002D16F8"/>
    <w:rsid w:val="002D7601"/>
    <w:rsid w:val="002E1395"/>
    <w:rsid w:val="002E622E"/>
    <w:rsid w:val="002F1C25"/>
    <w:rsid w:val="00312175"/>
    <w:rsid w:val="00314BEC"/>
    <w:rsid w:val="003169F8"/>
    <w:rsid w:val="0032104F"/>
    <w:rsid w:val="00331187"/>
    <w:rsid w:val="00335C0B"/>
    <w:rsid w:val="00343387"/>
    <w:rsid w:val="00350705"/>
    <w:rsid w:val="003736DA"/>
    <w:rsid w:val="00374CCC"/>
    <w:rsid w:val="00380D3F"/>
    <w:rsid w:val="00385893"/>
    <w:rsid w:val="00390B8B"/>
    <w:rsid w:val="00394A3F"/>
    <w:rsid w:val="0039581A"/>
    <w:rsid w:val="003A29DC"/>
    <w:rsid w:val="003A2E56"/>
    <w:rsid w:val="003A5036"/>
    <w:rsid w:val="003B2954"/>
    <w:rsid w:val="003B2E3F"/>
    <w:rsid w:val="003B47BE"/>
    <w:rsid w:val="003B4CF7"/>
    <w:rsid w:val="003B5811"/>
    <w:rsid w:val="003C298F"/>
    <w:rsid w:val="003D02F7"/>
    <w:rsid w:val="003E05F0"/>
    <w:rsid w:val="003E2C40"/>
    <w:rsid w:val="003E3C3F"/>
    <w:rsid w:val="003F50B2"/>
    <w:rsid w:val="003F722B"/>
    <w:rsid w:val="004042FF"/>
    <w:rsid w:val="00405567"/>
    <w:rsid w:val="00407811"/>
    <w:rsid w:val="0041256A"/>
    <w:rsid w:val="00425D68"/>
    <w:rsid w:val="004324E6"/>
    <w:rsid w:val="004438AF"/>
    <w:rsid w:val="00445496"/>
    <w:rsid w:val="00452B68"/>
    <w:rsid w:val="0045653E"/>
    <w:rsid w:val="004721E6"/>
    <w:rsid w:val="00477600"/>
    <w:rsid w:val="00477A2C"/>
    <w:rsid w:val="004A055D"/>
    <w:rsid w:val="004B72D0"/>
    <w:rsid w:val="004D095C"/>
    <w:rsid w:val="004D5C06"/>
    <w:rsid w:val="004E0072"/>
    <w:rsid w:val="004F4900"/>
    <w:rsid w:val="005060C1"/>
    <w:rsid w:val="005258CE"/>
    <w:rsid w:val="0053132C"/>
    <w:rsid w:val="00535EA5"/>
    <w:rsid w:val="00537DAD"/>
    <w:rsid w:val="00554CFA"/>
    <w:rsid w:val="00555B04"/>
    <w:rsid w:val="00562CAC"/>
    <w:rsid w:val="00563169"/>
    <w:rsid w:val="005965D7"/>
    <w:rsid w:val="005B148E"/>
    <w:rsid w:val="005C0864"/>
    <w:rsid w:val="005C0A6B"/>
    <w:rsid w:val="005C54D5"/>
    <w:rsid w:val="005C7661"/>
    <w:rsid w:val="005D4D82"/>
    <w:rsid w:val="005E2252"/>
    <w:rsid w:val="005F0742"/>
    <w:rsid w:val="00602992"/>
    <w:rsid w:val="00603234"/>
    <w:rsid w:val="0060757F"/>
    <w:rsid w:val="00613F2C"/>
    <w:rsid w:val="00622E0C"/>
    <w:rsid w:val="00624E54"/>
    <w:rsid w:val="0063300A"/>
    <w:rsid w:val="00634763"/>
    <w:rsid w:val="00645915"/>
    <w:rsid w:val="006524AC"/>
    <w:rsid w:val="006530D4"/>
    <w:rsid w:val="00655FAE"/>
    <w:rsid w:val="0067718C"/>
    <w:rsid w:val="006911A9"/>
    <w:rsid w:val="006A34BD"/>
    <w:rsid w:val="006A39A3"/>
    <w:rsid w:val="006A5CE3"/>
    <w:rsid w:val="006B0591"/>
    <w:rsid w:val="006D2BC4"/>
    <w:rsid w:val="006D2F4C"/>
    <w:rsid w:val="006D3968"/>
    <w:rsid w:val="006D5123"/>
    <w:rsid w:val="006E0AF7"/>
    <w:rsid w:val="0073093F"/>
    <w:rsid w:val="00731A04"/>
    <w:rsid w:val="00735AAA"/>
    <w:rsid w:val="00753C7F"/>
    <w:rsid w:val="00761D5E"/>
    <w:rsid w:val="00763813"/>
    <w:rsid w:val="00767C0B"/>
    <w:rsid w:val="007743F4"/>
    <w:rsid w:val="00780196"/>
    <w:rsid w:val="0078075F"/>
    <w:rsid w:val="007913CF"/>
    <w:rsid w:val="007933A2"/>
    <w:rsid w:val="00794699"/>
    <w:rsid w:val="007B4A8E"/>
    <w:rsid w:val="007B4D73"/>
    <w:rsid w:val="007C47E0"/>
    <w:rsid w:val="007C7D50"/>
    <w:rsid w:val="007E0806"/>
    <w:rsid w:val="007E25E4"/>
    <w:rsid w:val="007E657A"/>
    <w:rsid w:val="00811DC0"/>
    <w:rsid w:val="00823877"/>
    <w:rsid w:val="00831CB1"/>
    <w:rsid w:val="00832FF0"/>
    <w:rsid w:val="00835FBA"/>
    <w:rsid w:val="008404D6"/>
    <w:rsid w:val="0084155F"/>
    <w:rsid w:val="00842D89"/>
    <w:rsid w:val="00853A91"/>
    <w:rsid w:val="0086656D"/>
    <w:rsid w:val="00873752"/>
    <w:rsid w:val="00875BDF"/>
    <w:rsid w:val="00886770"/>
    <w:rsid w:val="008927E7"/>
    <w:rsid w:val="00897303"/>
    <w:rsid w:val="008A3AC8"/>
    <w:rsid w:val="008A409C"/>
    <w:rsid w:val="008B202C"/>
    <w:rsid w:val="008B37FD"/>
    <w:rsid w:val="008B7DD4"/>
    <w:rsid w:val="008C1456"/>
    <w:rsid w:val="008C1FC1"/>
    <w:rsid w:val="008C5EB2"/>
    <w:rsid w:val="008C69CA"/>
    <w:rsid w:val="008D0E89"/>
    <w:rsid w:val="008D2336"/>
    <w:rsid w:val="008E27B1"/>
    <w:rsid w:val="008E5E84"/>
    <w:rsid w:val="008E668D"/>
    <w:rsid w:val="008E6982"/>
    <w:rsid w:val="00911F40"/>
    <w:rsid w:val="0091436B"/>
    <w:rsid w:val="00917736"/>
    <w:rsid w:val="00925384"/>
    <w:rsid w:val="0093457E"/>
    <w:rsid w:val="00934A88"/>
    <w:rsid w:val="00934AD2"/>
    <w:rsid w:val="00936952"/>
    <w:rsid w:val="00946F61"/>
    <w:rsid w:val="009474EE"/>
    <w:rsid w:val="00953DC8"/>
    <w:rsid w:val="0095598E"/>
    <w:rsid w:val="00956E23"/>
    <w:rsid w:val="00985068"/>
    <w:rsid w:val="00994BB1"/>
    <w:rsid w:val="0099746A"/>
    <w:rsid w:val="009A15F0"/>
    <w:rsid w:val="009B1CF9"/>
    <w:rsid w:val="009B219F"/>
    <w:rsid w:val="009B2CF2"/>
    <w:rsid w:val="009B30FB"/>
    <w:rsid w:val="009C3AFC"/>
    <w:rsid w:val="009C5C35"/>
    <w:rsid w:val="009D6E4E"/>
    <w:rsid w:val="009E4A2D"/>
    <w:rsid w:val="009F388C"/>
    <w:rsid w:val="009F5B89"/>
    <w:rsid w:val="009F6046"/>
    <w:rsid w:val="00A123AF"/>
    <w:rsid w:val="00A20970"/>
    <w:rsid w:val="00A22E03"/>
    <w:rsid w:val="00A26730"/>
    <w:rsid w:val="00A34D08"/>
    <w:rsid w:val="00A34F6E"/>
    <w:rsid w:val="00A37250"/>
    <w:rsid w:val="00A460C9"/>
    <w:rsid w:val="00A477B0"/>
    <w:rsid w:val="00A509A5"/>
    <w:rsid w:val="00A50C97"/>
    <w:rsid w:val="00A53DD6"/>
    <w:rsid w:val="00A57DFF"/>
    <w:rsid w:val="00A657A3"/>
    <w:rsid w:val="00A71890"/>
    <w:rsid w:val="00A73900"/>
    <w:rsid w:val="00A7749D"/>
    <w:rsid w:val="00A8047C"/>
    <w:rsid w:val="00A84E33"/>
    <w:rsid w:val="00A87166"/>
    <w:rsid w:val="00A940B8"/>
    <w:rsid w:val="00A9434C"/>
    <w:rsid w:val="00A977BE"/>
    <w:rsid w:val="00AB6D00"/>
    <w:rsid w:val="00AD006C"/>
    <w:rsid w:val="00AD01D9"/>
    <w:rsid w:val="00AD7A16"/>
    <w:rsid w:val="00AE18CD"/>
    <w:rsid w:val="00AF0702"/>
    <w:rsid w:val="00AF28B4"/>
    <w:rsid w:val="00AF4571"/>
    <w:rsid w:val="00B127EB"/>
    <w:rsid w:val="00B23740"/>
    <w:rsid w:val="00B24619"/>
    <w:rsid w:val="00B275A7"/>
    <w:rsid w:val="00B371AD"/>
    <w:rsid w:val="00B403D4"/>
    <w:rsid w:val="00B45AFE"/>
    <w:rsid w:val="00B478B3"/>
    <w:rsid w:val="00B5684A"/>
    <w:rsid w:val="00B603CD"/>
    <w:rsid w:val="00B60CB1"/>
    <w:rsid w:val="00B63E44"/>
    <w:rsid w:val="00B676F0"/>
    <w:rsid w:val="00B70FE4"/>
    <w:rsid w:val="00B7348C"/>
    <w:rsid w:val="00B85397"/>
    <w:rsid w:val="00B86986"/>
    <w:rsid w:val="00B93F33"/>
    <w:rsid w:val="00B9650D"/>
    <w:rsid w:val="00BB1F03"/>
    <w:rsid w:val="00BB7401"/>
    <w:rsid w:val="00BC2E59"/>
    <w:rsid w:val="00BC40AD"/>
    <w:rsid w:val="00BD77AC"/>
    <w:rsid w:val="00BE48D4"/>
    <w:rsid w:val="00BF27C7"/>
    <w:rsid w:val="00BF62FD"/>
    <w:rsid w:val="00C058A5"/>
    <w:rsid w:val="00C06671"/>
    <w:rsid w:val="00C1374C"/>
    <w:rsid w:val="00C15C58"/>
    <w:rsid w:val="00C23FE1"/>
    <w:rsid w:val="00C2454B"/>
    <w:rsid w:val="00C33CE7"/>
    <w:rsid w:val="00C37ACD"/>
    <w:rsid w:val="00C37CB6"/>
    <w:rsid w:val="00C437E7"/>
    <w:rsid w:val="00C458E5"/>
    <w:rsid w:val="00C501C0"/>
    <w:rsid w:val="00C57786"/>
    <w:rsid w:val="00C63399"/>
    <w:rsid w:val="00C64B11"/>
    <w:rsid w:val="00C734CD"/>
    <w:rsid w:val="00CA1CF0"/>
    <w:rsid w:val="00CA400F"/>
    <w:rsid w:val="00CB04AA"/>
    <w:rsid w:val="00CB5044"/>
    <w:rsid w:val="00CB51D6"/>
    <w:rsid w:val="00CC5933"/>
    <w:rsid w:val="00CC7E51"/>
    <w:rsid w:val="00CD4B70"/>
    <w:rsid w:val="00CE71B4"/>
    <w:rsid w:val="00CF1B11"/>
    <w:rsid w:val="00CF46F6"/>
    <w:rsid w:val="00CF52DA"/>
    <w:rsid w:val="00CF5E88"/>
    <w:rsid w:val="00CF6CE5"/>
    <w:rsid w:val="00D121BB"/>
    <w:rsid w:val="00D146EF"/>
    <w:rsid w:val="00D15C82"/>
    <w:rsid w:val="00D15EC1"/>
    <w:rsid w:val="00D214BD"/>
    <w:rsid w:val="00D23265"/>
    <w:rsid w:val="00D316AE"/>
    <w:rsid w:val="00D44CF6"/>
    <w:rsid w:val="00D47B3B"/>
    <w:rsid w:val="00D5431D"/>
    <w:rsid w:val="00D60918"/>
    <w:rsid w:val="00D618F8"/>
    <w:rsid w:val="00D623EB"/>
    <w:rsid w:val="00D66998"/>
    <w:rsid w:val="00D67C23"/>
    <w:rsid w:val="00D73A71"/>
    <w:rsid w:val="00DC2063"/>
    <w:rsid w:val="00DC281B"/>
    <w:rsid w:val="00DD11FA"/>
    <w:rsid w:val="00DD2947"/>
    <w:rsid w:val="00DD3256"/>
    <w:rsid w:val="00DD3872"/>
    <w:rsid w:val="00DD4178"/>
    <w:rsid w:val="00DF3EF1"/>
    <w:rsid w:val="00DF7B6E"/>
    <w:rsid w:val="00E62E1C"/>
    <w:rsid w:val="00E66E1E"/>
    <w:rsid w:val="00E67CED"/>
    <w:rsid w:val="00E7738C"/>
    <w:rsid w:val="00E8110A"/>
    <w:rsid w:val="00E84EDA"/>
    <w:rsid w:val="00E9051D"/>
    <w:rsid w:val="00E96B33"/>
    <w:rsid w:val="00EA2DA1"/>
    <w:rsid w:val="00EB34AF"/>
    <w:rsid w:val="00EB356B"/>
    <w:rsid w:val="00EC0F14"/>
    <w:rsid w:val="00EC42BF"/>
    <w:rsid w:val="00EC4A94"/>
    <w:rsid w:val="00EC597E"/>
    <w:rsid w:val="00ED2DE4"/>
    <w:rsid w:val="00EF44A8"/>
    <w:rsid w:val="00F03BB5"/>
    <w:rsid w:val="00F1364F"/>
    <w:rsid w:val="00F200B5"/>
    <w:rsid w:val="00F22631"/>
    <w:rsid w:val="00F36666"/>
    <w:rsid w:val="00F42ABD"/>
    <w:rsid w:val="00F54F8F"/>
    <w:rsid w:val="00F56208"/>
    <w:rsid w:val="00F64184"/>
    <w:rsid w:val="00F647B3"/>
    <w:rsid w:val="00F82958"/>
    <w:rsid w:val="00F8326F"/>
    <w:rsid w:val="00F859A0"/>
    <w:rsid w:val="00F865C1"/>
    <w:rsid w:val="00F906DC"/>
    <w:rsid w:val="00F936E2"/>
    <w:rsid w:val="00F93C89"/>
    <w:rsid w:val="00F978B8"/>
    <w:rsid w:val="00FA1989"/>
    <w:rsid w:val="00FA1F45"/>
    <w:rsid w:val="00FA3FC0"/>
    <w:rsid w:val="00FA487C"/>
    <w:rsid w:val="00FB302A"/>
    <w:rsid w:val="00FB3C57"/>
    <w:rsid w:val="00FB730A"/>
    <w:rsid w:val="00FC0FFA"/>
    <w:rsid w:val="00FD4B79"/>
    <w:rsid w:val="00FD6651"/>
    <w:rsid w:val="00FE17CF"/>
    <w:rsid w:val="00FE17FD"/>
    <w:rsid w:val="00FF6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04A46"/>
  <w15:chartTrackingRefBased/>
  <w15:docId w15:val="{95A02C66-894F-4584-82B7-16405643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1F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1F03"/>
    <w:rPr>
      <w:sz w:val="18"/>
      <w:szCs w:val="18"/>
    </w:rPr>
  </w:style>
  <w:style w:type="paragraph" w:styleId="a5">
    <w:name w:val="footer"/>
    <w:basedOn w:val="a"/>
    <w:link w:val="a6"/>
    <w:uiPriority w:val="99"/>
    <w:unhideWhenUsed/>
    <w:rsid w:val="00BB1F03"/>
    <w:pPr>
      <w:tabs>
        <w:tab w:val="center" w:pos="4153"/>
        <w:tab w:val="right" w:pos="8306"/>
      </w:tabs>
      <w:snapToGrid w:val="0"/>
      <w:jc w:val="left"/>
    </w:pPr>
    <w:rPr>
      <w:sz w:val="18"/>
      <w:szCs w:val="18"/>
    </w:rPr>
  </w:style>
  <w:style w:type="character" w:customStyle="1" w:styleId="a6">
    <w:name w:val="页脚 字符"/>
    <w:basedOn w:val="a0"/>
    <w:link w:val="a5"/>
    <w:uiPriority w:val="99"/>
    <w:rsid w:val="00BB1F03"/>
    <w:rPr>
      <w:sz w:val="18"/>
      <w:szCs w:val="18"/>
    </w:rPr>
  </w:style>
  <w:style w:type="paragraph" w:styleId="a7">
    <w:name w:val="List Paragraph"/>
    <w:basedOn w:val="a"/>
    <w:uiPriority w:val="34"/>
    <w:qFormat/>
    <w:rsid w:val="00BB1F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565915">
      <w:bodyDiv w:val="1"/>
      <w:marLeft w:val="0"/>
      <w:marRight w:val="0"/>
      <w:marTop w:val="0"/>
      <w:marBottom w:val="0"/>
      <w:divBdr>
        <w:top w:val="none" w:sz="0" w:space="0" w:color="auto"/>
        <w:left w:val="none" w:sz="0" w:space="0" w:color="auto"/>
        <w:bottom w:val="none" w:sz="0" w:space="0" w:color="auto"/>
        <w:right w:val="none" w:sz="0" w:space="0" w:color="auto"/>
      </w:divBdr>
    </w:div>
    <w:div w:id="457262485">
      <w:bodyDiv w:val="1"/>
      <w:marLeft w:val="0"/>
      <w:marRight w:val="0"/>
      <w:marTop w:val="0"/>
      <w:marBottom w:val="0"/>
      <w:divBdr>
        <w:top w:val="none" w:sz="0" w:space="0" w:color="auto"/>
        <w:left w:val="none" w:sz="0" w:space="0" w:color="auto"/>
        <w:bottom w:val="none" w:sz="0" w:space="0" w:color="auto"/>
        <w:right w:val="none" w:sz="0" w:space="0" w:color="auto"/>
      </w:divBdr>
    </w:div>
    <w:div w:id="718893014">
      <w:bodyDiv w:val="1"/>
      <w:marLeft w:val="0"/>
      <w:marRight w:val="0"/>
      <w:marTop w:val="0"/>
      <w:marBottom w:val="0"/>
      <w:divBdr>
        <w:top w:val="none" w:sz="0" w:space="0" w:color="auto"/>
        <w:left w:val="none" w:sz="0" w:space="0" w:color="auto"/>
        <w:bottom w:val="none" w:sz="0" w:space="0" w:color="auto"/>
        <w:right w:val="none" w:sz="0" w:space="0" w:color="auto"/>
      </w:divBdr>
    </w:div>
    <w:div w:id="1016466152">
      <w:bodyDiv w:val="1"/>
      <w:marLeft w:val="0"/>
      <w:marRight w:val="0"/>
      <w:marTop w:val="0"/>
      <w:marBottom w:val="0"/>
      <w:divBdr>
        <w:top w:val="none" w:sz="0" w:space="0" w:color="auto"/>
        <w:left w:val="none" w:sz="0" w:space="0" w:color="auto"/>
        <w:bottom w:val="none" w:sz="0" w:space="0" w:color="auto"/>
        <w:right w:val="none" w:sz="0" w:space="0" w:color="auto"/>
      </w:divBdr>
    </w:div>
    <w:div w:id="1418284260">
      <w:bodyDiv w:val="1"/>
      <w:marLeft w:val="0"/>
      <w:marRight w:val="0"/>
      <w:marTop w:val="0"/>
      <w:marBottom w:val="0"/>
      <w:divBdr>
        <w:top w:val="none" w:sz="0" w:space="0" w:color="auto"/>
        <w:left w:val="none" w:sz="0" w:space="0" w:color="auto"/>
        <w:bottom w:val="none" w:sz="0" w:space="0" w:color="auto"/>
        <w:right w:val="none" w:sz="0" w:space="0" w:color="auto"/>
      </w:divBdr>
    </w:div>
    <w:div w:id="1470706467">
      <w:bodyDiv w:val="1"/>
      <w:marLeft w:val="0"/>
      <w:marRight w:val="0"/>
      <w:marTop w:val="0"/>
      <w:marBottom w:val="0"/>
      <w:divBdr>
        <w:top w:val="none" w:sz="0" w:space="0" w:color="auto"/>
        <w:left w:val="none" w:sz="0" w:space="0" w:color="auto"/>
        <w:bottom w:val="none" w:sz="0" w:space="0" w:color="auto"/>
        <w:right w:val="none" w:sz="0" w:space="0" w:color="auto"/>
      </w:divBdr>
      <w:divsChild>
        <w:div w:id="1731728491">
          <w:marLeft w:val="446"/>
          <w:marRight w:val="0"/>
          <w:marTop w:val="0"/>
          <w:marBottom w:val="0"/>
          <w:divBdr>
            <w:top w:val="none" w:sz="0" w:space="0" w:color="auto"/>
            <w:left w:val="none" w:sz="0" w:space="0" w:color="auto"/>
            <w:bottom w:val="none" w:sz="0" w:space="0" w:color="auto"/>
            <w:right w:val="none" w:sz="0" w:space="0" w:color="auto"/>
          </w:divBdr>
        </w:div>
      </w:divsChild>
    </w:div>
    <w:div w:id="197710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chart" Target="charts/chart33.xml"/><Relationship Id="rId21" Type="http://schemas.openxmlformats.org/officeDocument/2006/relationships/chart" Target="charts/chart15.xml"/><Relationship Id="rId34" Type="http://schemas.openxmlformats.org/officeDocument/2006/relationships/chart" Target="charts/chart28.xml"/><Relationship Id="rId42" Type="http://schemas.openxmlformats.org/officeDocument/2006/relationships/chart" Target="charts/chart36.xml"/><Relationship Id="rId47" Type="http://schemas.openxmlformats.org/officeDocument/2006/relationships/chart" Target="charts/chart41.xml"/><Relationship Id="rId50" Type="http://schemas.openxmlformats.org/officeDocument/2006/relationships/chart" Target="charts/chart44.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openxmlformats.org/officeDocument/2006/relationships/chart" Target="charts/chart23.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chart" Target="charts/chart31.xml"/><Relationship Id="rId40" Type="http://schemas.openxmlformats.org/officeDocument/2006/relationships/chart" Target="charts/chart34.xml"/><Relationship Id="rId45" Type="http://schemas.openxmlformats.org/officeDocument/2006/relationships/chart" Target="charts/chart39.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4" Type="http://schemas.openxmlformats.org/officeDocument/2006/relationships/chart" Target="charts/chart38.xml"/><Relationship Id="rId52" Type="http://schemas.openxmlformats.org/officeDocument/2006/relationships/chart" Target="charts/chart46.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 Id="rId43" Type="http://schemas.openxmlformats.org/officeDocument/2006/relationships/chart" Target="charts/chart37.xml"/><Relationship Id="rId48" Type="http://schemas.openxmlformats.org/officeDocument/2006/relationships/chart" Target="charts/chart42.xml"/><Relationship Id="rId8" Type="http://schemas.openxmlformats.org/officeDocument/2006/relationships/chart" Target="charts/chart2.xml"/><Relationship Id="rId51" Type="http://schemas.openxmlformats.org/officeDocument/2006/relationships/chart" Target="charts/chart45.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chart" Target="charts/chart32.xml"/><Relationship Id="rId46" Type="http://schemas.openxmlformats.org/officeDocument/2006/relationships/chart" Target="charts/chart40.xml"/><Relationship Id="rId20" Type="http://schemas.openxmlformats.org/officeDocument/2006/relationships/chart" Target="charts/chart14.xml"/><Relationship Id="rId41" Type="http://schemas.openxmlformats.org/officeDocument/2006/relationships/chart" Target="charts/chart35.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49" Type="http://schemas.openxmlformats.org/officeDocument/2006/relationships/chart" Target="charts/chart4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51;&#26631;\&#38134;&#34892;&#36164;&#26412;&#20805;&#36275;&#2957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51;&#26631;\&#38134;&#34892;&#36164;&#26412;&#20805;&#36275;&#29575;.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51;&#26631;\&#38134;&#34892;&#36164;&#26412;&#20805;&#36275;&#29575;.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51;&#26631;\&#38134;&#34892;&#36164;&#26412;&#20805;&#36275;&#29575;.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46.xml"/><Relationship Id="rId1" Type="http://schemas.microsoft.com/office/2011/relationships/chartStyle" Target="style46.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14476\Desktop\&#37329;&#34701;\&#20844;&#21496;&#30740;&#31350;\&#38134;&#34892;\&#25307;&#21830;&#38134;&#34892;\&#25968;&#25454;\&#25307;&#34892;&#20852;&#19994;&#23545;&#2760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主流上市银行核心一级资本充足率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万得!$B$2</c:f>
              <c:strCache>
                <c:ptCount val="1"/>
                <c:pt idx="0">
                  <c:v>工商银行</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万得!$C$2:$J$2</c:f>
              <c:numCache>
                <c:formatCode>#,##0.00_ </c:formatCode>
                <c:ptCount val="8"/>
                <c:pt idx="0">
                  <c:v>10.57</c:v>
                </c:pt>
                <c:pt idx="1">
                  <c:v>11.92</c:v>
                </c:pt>
                <c:pt idx="2">
                  <c:v>12.87</c:v>
                </c:pt>
                <c:pt idx="3">
                  <c:v>12.87</c:v>
                </c:pt>
                <c:pt idx="4">
                  <c:v>12.77</c:v>
                </c:pt>
                <c:pt idx="5">
                  <c:v>12.98</c:v>
                </c:pt>
                <c:pt idx="6">
                  <c:v>13.2</c:v>
                </c:pt>
                <c:pt idx="7">
                  <c:v>13.18</c:v>
                </c:pt>
              </c:numCache>
            </c:numRef>
          </c:val>
          <c:smooth val="0"/>
          <c:extLst>
            <c:ext xmlns:c16="http://schemas.microsoft.com/office/drawing/2014/chart" uri="{C3380CC4-5D6E-409C-BE32-E72D297353CC}">
              <c16:uniqueId val="{00000000-145F-4DC2-8DF3-CCAF5C8D0284}"/>
            </c:ext>
          </c:extLst>
        </c:ser>
        <c:ser>
          <c:idx val="1"/>
          <c:order val="1"/>
          <c:tx>
            <c:strRef>
              <c:f>万得!$B$3</c:f>
              <c:strCache>
                <c:ptCount val="1"/>
                <c:pt idx="0">
                  <c:v>农业银行</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万得!$C$3:$J$3</c:f>
              <c:numCache>
                <c:formatCode>#,##0.00_ </c:formatCode>
                <c:ptCount val="8"/>
                <c:pt idx="0">
                  <c:v>9.25</c:v>
                </c:pt>
                <c:pt idx="1">
                  <c:v>9.09</c:v>
                </c:pt>
                <c:pt idx="2">
                  <c:v>10.24</c:v>
                </c:pt>
                <c:pt idx="3">
                  <c:v>10.38</c:v>
                </c:pt>
                <c:pt idx="4">
                  <c:v>10.63</c:v>
                </c:pt>
                <c:pt idx="5">
                  <c:v>11.55</c:v>
                </c:pt>
                <c:pt idx="6">
                  <c:v>11.24</c:v>
                </c:pt>
                <c:pt idx="7">
                  <c:v>11.04</c:v>
                </c:pt>
              </c:numCache>
            </c:numRef>
          </c:val>
          <c:smooth val="0"/>
          <c:extLst>
            <c:ext xmlns:c16="http://schemas.microsoft.com/office/drawing/2014/chart" uri="{C3380CC4-5D6E-409C-BE32-E72D297353CC}">
              <c16:uniqueId val="{00000001-145F-4DC2-8DF3-CCAF5C8D0284}"/>
            </c:ext>
          </c:extLst>
        </c:ser>
        <c:ser>
          <c:idx val="2"/>
          <c:order val="2"/>
          <c:tx>
            <c:strRef>
              <c:f>万得!$B$4</c:f>
              <c:strCache>
                <c:ptCount val="1"/>
                <c:pt idx="0">
                  <c:v>建设银行</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万得!$C$4:$J$4</c:f>
              <c:numCache>
                <c:formatCode>#,##0.00_ </c:formatCode>
                <c:ptCount val="8"/>
                <c:pt idx="0">
                  <c:v>10.75</c:v>
                </c:pt>
                <c:pt idx="1">
                  <c:v>12.12</c:v>
                </c:pt>
                <c:pt idx="2">
                  <c:v>13.13</c:v>
                </c:pt>
                <c:pt idx="3">
                  <c:v>12.98</c:v>
                </c:pt>
                <c:pt idx="4">
                  <c:v>13.09</c:v>
                </c:pt>
                <c:pt idx="5">
                  <c:v>13.83</c:v>
                </c:pt>
                <c:pt idx="6">
                  <c:v>13.88</c:v>
                </c:pt>
                <c:pt idx="7">
                  <c:v>13.62</c:v>
                </c:pt>
              </c:numCache>
            </c:numRef>
          </c:val>
          <c:smooth val="0"/>
          <c:extLst>
            <c:ext xmlns:c16="http://schemas.microsoft.com/office/drawing/2014/chart" uri="{C3380CC4-5D6E-409C-BE32-E72D297353CC}">
              <c16:uniqueId val="{00000002-145F-4DC2-8DF3-CCAF5C8D0284}"/>
            </c:ext>
          </c:extLst>
        </c:ser>
        <c:ser>
          <c:idx val="3"/>
          <c:order val="3"/>
          <c:tx>
            <c:strRef>
              <c:f>万得!$B$5</c:f>
              <c:strCache>
                <c:ptCount val="1"/>
                <c:pt idx="0">
                  <c:v>中国银行</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万得!$C$5:$J$5</c:f>
              <c:numCache>
                <c:formatCode>#,##0.00_ </c:formatCode>
                <c:ptCount val="8"/>
                <c:pt idx="0">
                  <c:v>9.69</c:v>
                </c:pt>
                <c:pt idx="1">
                  <c:v>10.61</c:v>
                </c:pt>
                <c:pt idx="2">
                  <c:v>11.1</c:v>
                </c:pt>
                <c:pt idx="3">
                  <c:v>11.37</c:v>
                </c:pt>
                <c:pt idx="4">
                  <c:v>11.15</c:v>
                </c:pt>
                <c:pt idx="5">
                  <c:v>11.41</c:v>
                </c:pt>
                <c:pt idx="6">
                  <c:v>11.3</c:v>
                </c:pt>
                <c:pt idx="7">
                  <c:v>11.28</c:v>
                </c:pt>
              </c:numCache>
            </c:numRef>
          </c:val>
          <c:smooth val="0"/>
          <c:extLst>
            <c:ext xmlns:c16="http://schemas.microsoft.com/office/drawing/2014/chart" uri="{C3380CC4-5D6E-409C-BE32-E72D297353CC}">
              <c16:uniqueId val="{00000003-145F-4DC2-8DF3-CCAF5C8D0284}"/>
            </c:ext>
          </c:extLst>
        </c:ser>
        <c:ser>
          <c:idx val="4"/>
          <c:order val="4"/>
          <c:tx>
            <c:strRef>
              <c:f>万得!$B$6</c:f>
              <c:strCache>
                <c:ptCount val="1"/>
                <c:pt idx="0">
                  <c:v>交通银行</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万得!$C$6:$J$6</c:f>
              <c:numCache>
                <c:formatCode>#,##0.00_ </c:formatCode>
                <c:ptCount val="8"/>
                <c:pt idx="0">
                  <c:v>9.76</c:v>
                </c:pt>
                <c:pt idx="1">
                  <c:v>11.3</c:v>
                </c:pt>
                <c:pt idx="2">
                  <c:v>11.14</c:v>
                </c:pt>
                <c:pt idx="3">
                  <c:v>11</c:v>
                </c:pt>
                <c:pt idx="4">
                  <c:v>10.79</c:v>
                </c:pt>
                <c:pt idx="5">
                  <c:v>11.16</c:v>
                </c:pt>
                <c:pt idx="6">
                  <c:v>11.22</c:v>
                </c:pt>
                <c:pt idx="7">
                  <c:v>10.87</c:v>
                </c:pt>
              </c:numCache>
            </c:numRef>
          </c:val>
          <c:smooth val="0"/>
          <c:extLst>
            <c:ext xmlns:c16="http://schemas.microsoft.com/office/drawing/2014/chart" uri="{C3380CC4-5D6E-409C-BE32-E72D297353CC}">
              <c16:uniqueId val="{00000004-145F-4DC2-8DF3-CCAF5C8D0284}"/>
            </c:ext>
          </c:extLst>
        </c:ser>
        <c:ser>
          <c:idx val="5"/>
          <c:order val="5"/>
          <c:tx>
            <c:strRef>
              <c:f>万得!$B$7</c:f>
              <c:strCache>
                <c:ptCount val="1"/>
                <c:pt idx="0">
                  <c:v>邮储银行</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万得!$C$7:$J$7</c:f>
              <c:numCache>
                <c:formatCode>#,##0.00_ </c:formatCode>
                <c:ptCount val="8"/>
                <c:pt idx="0">
                  <c:v>7.72</c:v>
                </c:pt>
                <c:pt idx="1">
                  <c:v>8.44</c:v>
                </c:pt>
                <c:pt idx="2">
                  <c:v>8.5299999999999994</c:v>
                </c:pt>
                <c:pt idx="3">
                  <c:v>8.6300000000000008</c:v>
                </c:pt>
                <c:pt idx="4">
                  <c:v>8.6</c:v>
                </c:pt>
                <c:pt idx="5">
                  <c:v>9.77</c:v>
                </c:pt>
                <c:pt idx="6">
                  <c:v>9.9</c:v>
                </c:pt>
                <c:pt idx="7">
                  <c:v>9.6</c:v>
                </c:pt>
              </c:numCache>
            </c:numRef>
          </c:val>
          <c:smooth val="0"/>
          <c:extLst>
            <c:ext xmlns:c16="http://schemas.microsoft.com/office/drawing/2014/chart" uri="{C3380CC4-5D6E-409C-BE32-E72D297353CC}">
              <c16:uniqueId val="{00000005-145F-4DC2-8DF3-CCAF5C8D0284}"/>
            </c:ext>
          </c:extLst>
        </c:ser>
        <c:ser>
          <c:idx val="6"/>
          <c:order val="6"/>
          <c:tx>
            <c:strRef>
              <c:f>万得!$B$8</c:f>
              <c:strCache>
                <c:ptCount val="1"/>
                <c:pt idx="0">
                  <c:v>浦发银行</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万得!$C$8:$J$8</c:f>
              <c:numCache>
                <c:formatCode>#,##0.00_ </c:formatCode>
                <c:ptCount val="8"/>
                <c:pt idx="0">
                  <c:v>8.58</c:v>
                </c:pt>
                <c:pt idx="1">
                  <c:v>8.61</c:v>
                </c:pt>
                <c:pt idx="2">
                  <c:v>8.56</c:v>
                </c:pt>
                <c:pt idx="3">
                  <c:v>8.5299999999999994</c:v>
                </c:pt>
                <c:pt idx="4">
                  <c:v>9.5</c:v>
                </c:pt>
                <c:pt idx="5">
                  <c:v>10.09</c:v>
                </c:pt>
                <c:pt idx="6">
                  <c:v>10.26</c:v>
                </c:pt>
                <c:pt idx="7">
                  <c:v>9.51</c:v>
                </c:pt>
              </c:numCache>
            </c:numRef>
          </c:val>
          <c:smooth val="0"/>
          <c:extLst>
            <c:ext xmlns:c16="http://schemas.microsoft.com/office/drawing/2014/chart" uri="{C3380CC4-5D6E-409C-BE32-E72D297353CC}">
              <c16:uniqueId val="{00000006-145F-4DC2-8DF3-CCAF5C8D0284}"/>
            </c:ext>
          </c:extLst>
        </c:ser>
        <c:ser>
          <c:idx val="7"/>
          <c:order val="7"/>
          <c:tx>
            <c:strRef>
              <c:f>万得!$B$9</c:f>
              <c:strCache>
                <c:ptCount val="1"/>
                <c:pt idx="0">
                  <c:v>招商银行</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万得!$C$9:$J$9</c:f>
              <c:numCache>
                <c:formatCode>#,##0.00_ </c:formatCode>
                <c:ptCount val="8"/>
                <c:pt idx="0">
                  <c:v>9.27</c:v>
                </c:pt>
                <c:pt idx="1">
                  <c:v>10.44</c:v>
                </c:pt>
                <c:pt idx="2">
                  <c:v>10.83</c:v>
                </c:pt>
                <c:pt idx="3">
                  <c:v>11.54</c:v>
                </c:pt>
                <c:pt idx="4">
                  <c:v>12.06</c:v>
                </c:pt>
                <c:pt idx="5">
                  <c:v>11.78</c:v>
                </c:pt>
                <c:pt idx="6">
                  <c:v>11.95</c:v>
                </c:pt>
                <c:pt idx="7">
                  <c:v>12.29</c:v>
                </c:pt>
              </c:numCache>
            </c:numRef>
          </c:val>
          <c:smooth val="0"/>
          <c:extLst>
            <c:ext xmlns:c16="http://schemas.microsoft.com/office/drawing/2014/chart" uri="{C3380CC4-5D6E-409C-BE32-E72D297353CC}">
              <c16:uniqueId val="{00000007-145F-4DC2-8DF3-CCAF5C8D0284}"/>
            </c:ext>
          </c:extLst>
        </c:ser>
        <c:ser>
          <c:idx val="8"/>
          <c:order val="8"/>
          <c:tx>
            <c:strRef>
              <c:f>万得!$B$10</c:f>
              <c:strCache>
                <c:ptCount val="1"/>
                <c:pt idx="0">
                  <c:v>中信银行</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万得!$C$10:$J$10</c:f>
              <c:numCache>
                <c:formatCode>#,##0.00_ </c:formatCode>
                <c:ptCount val="8"/>
                <c:pt idx="0">
                  <c:v>8.7799999999999994</c:v>
                </c:pt>
                <c:pt idx="1">
                  <c:v>8.93</c:v>
                </c:pt>
                <c:pt idx="2">
                  <c:v>9.1199999999999992</c:v>
                </c:pt>
                <c:pt idx="3">
                  <c:v>8.64</c:v>
                </c:pt>
                <c:pt idx="4">
                  <c:v>8.49</c:v>
                </c:pt>
                <c:pt idx="5">
                  <c:v>8.6199999999999992</c:v>
                </c:pt>
                <c:pt idx="6">
                  <c:v>8.69</c:v>
                </c:pt>
                <c:pt idx="7">
                  <c:v>8.74</c:v>
                </c:pt>
              </c:numCache>
            </c:numRef>
          </c:val>
          <c:smooth val="0"/>
          <c:extLst>
            <c:ext xmlns:c16="http://schemas.microsoft.com/office/drawing/2014/chart" uri="{C3380CC4-5D6E-409C-BE32-E72D297353CC}">
              <c16:uniqueId val="{00000008-145F-4DC2-8DF3-CCAF5C8D0284}"/>
            </c:ext>
          </c:extLst>
        </c:ser>
        <c:ser>
          <c:idx val="9"/>
          <c:order val="9"/>
          <c:tx>
            <c:strRef>
              <c:f>万得!$B$11</c:f>
              <c:strCache>
                <c:ptCount val="1"/>
                <c:pt idx="0">
                  <c:v>兴业银行</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万得!$C$11:$J$11</c:f>
              <c:numCache>
                <c:formatCode>#,##0.00_ </c:formatCode>
                <c:ptCount val="8"/>
                <c:pt idx="0">
                  <c:v>8.68</c:v>
                </c:pt>
                <c:pt idx="1">
                  <c:v>8.4499999999999993</c:v>
                </c:pt>
                <c:pt idx="2">
                  <c:v>8.43</c:v>
                </c:pt>
                <c:pt idx="3">
                  <c:v>8.5500000000000007</c:v>
                </c:pt>
                <c:pt idx="4">
                  <c:v>9.07</c:v>
                </c:pt>
                <c:pt idx="5">
                  <c:v>9.3000000000000007</c:v>
                </c:pt>
                <c:pt idx="6">
                  <c:v>9.4700000000000006</c:v>
                </c:pt>
                <c:pt idx="7">
                  <c:v>9.33</c:v>
                </c:pt>
              </c:numCache>
            </c:numRef>
          </c:val>
          <c:smooth val="0"/>
          <c:extLst>
            <c:ext xmlns:c16="http://schemas.microsoft.com/office/drawing/2014/chart" uri="{C3380CC4-5D6E-409C-BE32-E72D297353CC}">
              <c16:uniqueId val="{00000009-145F-4DC2-8DF3-CCAF5C8D0284}"/>
            </c:ext>
          </c:extLst>
        </c:ser>
        <c:ser>
          <c:idx val="10"/>
          <c:order val="10"/>
          <c:tx>
            <c:strRef>
              <c:f>万得!$B$12</c:f>
              <c:strCache>
                <c:ptCount val="1"/>
                <c:pt idx="0">
                  <c:v>光大银行</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万得!$C$12:$J$12</c:f>
              <c:numCache>
                <c:formatCode>#,##0.00_ </c:formatCode>
                <c:ptCount val="8"/>
                <c:pt idx="0">
                  <c:v>9.11</c:v>
                </c:pt>
                <c:pt idx="1">
                  <c:v>9.34</c:v>
                </c:pt>
                <c:pt idx="2">
                  <c:v>9.24</c:v>
                </c:pt>
                <c:pt idx="3">
                  <c:v>8.2100000000000009</c:v>
                </c:pt>
                <c:pt idx="4">
                  <c:v>9.56</c:v>
                </c:pt>
                <c:pt idx="5">
                  <c:v>9.15</c:v>
                </c:pt>
                <c:pt idx="6">
                  <c:v>9.1999999999999993</c:v>
                </c:pt>
                <c:pt idx="7">
                  <c:v>9.02</c:v>
                </c:pt>
              </c:numCache>
            </c:numRef>
          </c:val>
          <c:smooth val="0"/>
          <c:extLst>
            <c:ext xmlns:c16="http://schemas.microsoft.com/office/drawing/2014/chart" uri="{C3380CC4-5D6E-409C-BE32-E72D297353CC}">
              <c16:uniqueId val="{0000000A-145F-4DC2-8DF3-CCAF5C8D0284}"/>
            </c:ext>
          </c:extLst>
        </c:ser>
        <c:ser>
          <c:idx val="11"/>
          <c:order val="11"/>
          <c:tx>
            <c:strRef>
              <c:f>万得!$B$13</c:f>
              <c:strCache>
                <c:ptCount val="1"/>
                <c:pt idx="0">
                  <c:v>广发银行</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万得!$C$13:$J$13</c:f>
              <c:numCache>
                <c:formatCode>#,##0.00_ </c:formatCode>
                <c:ptCount val="8"/>
                <c:pt idx="0">
                  <c:v>7.5</c:v>
                </c:pt>
                <c:pt idx="1">
                  <c:v>8.1199999999999992</c:v>
                </c:pt>
                <c:pt idx="2">
                  <c:v>8.02</c:v>
                </c:pt>
                <c:pt idx="3">
                  <c:v>7.75</c:v>
                </c:pt>
                <c:pt idx="4">
                  <c:v>8.01</c:v>
                </c:pt>
                <c:pt idx="5">
                  <c:v>9.41</c:v>
                </c:pt>
                <c:pt idx="6">
                  <c:v>8.35</c:v>
                </c:pt>
                <c:pt idx="7">
                  <c:v>7.8</c:v>
                </c:pt>
              </c:numCache>
            </c:numRef>
          </c:val>
          <c:smooth val="0"/>
          <c:extLst>
            <c:ext xmlns:c16="http://schemas.microsoft.com/office/drawing/2014/chart" uri="{C3380CC4-5D6E-409C-BE32-E72D297353CC}">
              <c16:uniqueId val="{0000000B-145F-4DC2-8DF3-CCAF5C8D0284}"/>
            </c:ext>
          </c:extLst>
        </c:ser>
        <c:ser>
          <c:idx val="12"/>
          <c:order val="12"/>
          <c:tx>
            <c:strRef>
              <c:f>万得!$B$14</c:f>
              <c:strCache>
                <c:ptCount val="1"/>
                <c:pt idx="0">
                  <c:v>华夏银行</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万得!$C$14:$J$14</c:f>
              <c:numCache>
                <c:formatCode>#,##0.00_ </c:formatCode>
                <c:ptCount val="8"/>
                <c:pt idx="0">
                  <c:v>8.0299999999999994</c:v>
                </c:pt>
                <c:pt idx="1">
                  <c:v>8.49</c:v>
                </c:pt>
                <c:pt idx="2">
                  <c:v>8.89</c:v>
                </c:pt>
                <c:pt idx="3">
                  <c:v>8.43</c:v>
                </c:pt>
                <c:pt idx="4">
                  <c:v>8.26</c:v>
                </c:pt>
                <c:pt idx="5">
                  <c:v>9.4700000000000006</c:v>
                </c:pt>
                <c:pt idx="6">
                  <c:v>9.25</c:v>
                </c:pt>
                <c:pt idx="7">
                  <c:v>8.7899999999999991</c:v>
                </c:pt>
              </c:numCache>
            </c:numRef>
          </c:val>
          <c:smooth val="0"/>
          <c:extLst>
            <c:ext xmlns:c16="http://schemas.microsoft.com/office/drawing/2014/chart" uri="{C3380CC4-5D6E-409C-BE32-E72D297353CC}">
              <c16:uniqueId val="{0000000C-145F-4DC2-8DF3-CCAF5C8D0284}"/>
            </c:ext>
          </c:extLst>
        </c:ser>
        <c:ser>
          <c:idx val="13"/>
          <c:order val="13"/>
          <c:tx>
            <c:strRef>
              <c:f>万得!$B$15</c:f>
              <c:strCache>
                <c:ptCount val="1"/>
                <c:pt idx="0">
                  <c:v>民生银行</c:v>
                </c:pt>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万得!$C$15:$J$15</c:f>
              <c:numCache>
                <c:formatCode>#,##0.00_ </c:formatCode>
                <c:ptCount val="8"/>
                <c:pt idx="0">
                  <c:v>8.7200000000000006</c:v>
                </c:pt>
                <c:pt idx="1">
                  <c:v>8.58</c:v>
                </c:pt>
                <c:pt idx="2">
                  <c:v>9.17</c:v>
                </c:pt>
                <c:pt idx="3">
                  <c:v>8.9499999999999993</c:v>
                </c:pt>
                <c:pt idx="4">
                  <c:v>8.6300000000000008</c:v>
                </c:pt>
                <c:pt idx="5">
                  <c:v>8.93</c:v>
                </c:pt>
                <c:pt idx="6">
                  <c:v>8.89</c:v>
                </c:pt>
                <c:pt idx="7">
                  <c:v>8.51</c:v>
                </c:pt>
              </c:numCache>
            </c:numRef>
          </c:val>
          <c:smooth val="0"/>
          <c:extLst>
            <c:ext xmlns:c16="http://schemas.microsoft.com/office/drawing/2014/chart" uri="{C3380CC4-5D6E-409C-BE32-E72D297353CC}">
              <c16:uniqueId val="{0000000D-145F-4DC2-8DF3-CCAF5C8D0284}"/>
            </c:ext>
          </c:extLst>
        </c:ser>
        <c:ser>
          <c:idx val="14"/>
          <c:order val="14"/>
          <c:tx>
            <c:strRef>
              <c:f>万得!$B$16</c:f>
              <c:strCache>
                <c:ptCount val="1"/>
                <c:pt idx="0">
                  <c:v>平安银行</c:v>
                </c:pt>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万得!$C$16:$J$16</c:f>
              <c:numCache>
                <c:formatCode>#,##0.00_ </c:formatCode>
                <c:ptCount val="8"/>
                <c:pt idx="0">
                  <c:v>8.56</c:v>
                </c:pt>
                <c:pt idx="1">
                  <c:v>8.64</c:v>
                </c:pt>
                <c:pt idx="2">
                  <c:v>9.0299999999999994</c:v>
                </c:pt>
                <c:pt idx="3">
                  <c:v>8.36</c:v>
                </c:pt>
                <c:pt idx="4">
                  <c:v>8.2799999999999994</c:v>
                </c:pt>
                <c:pt idx="5">
                  <c:v>8.5399999999999991</c:v>
                </c:pt>
                <c:pt idx="6">
                  <c:v>9.11</c:v>
                </c:pt>
                <c:pt idx="7">
                  <c:v>8.69</c:v>
                </c:pt>
              </c:numCache>
            </c:numRef>
          </c:val>
          <c:smooth val="0"/>
          <c:extLst>
            <c:ext xmlns:c16="http://schemas.microsoft.com/office/drawing/2014/chart" uri="{C3380CC4-5D6E-409C-BE32-E72D297353CC}">
              <c16:uniqueId val="{0000000E-145F-4DC2-8DF3-CCAF5C8D0284}"/>
            </c:ext>
          </c:extLst>
        </c:ser>
        <c:dLbls>
          <c:showLegendKey val="0"/>
          <c:showVal val="0"/>
          <c:showCatName val="0"/>
          <c:showSerName val="0"/>
          <c:showPercent val="0"/>
          <c:showBubbleSize val="0"/>
        </c:dLbls>
        <c:marker val="1"/>
        <c:smooth val="0"/>
        <c:axId val="1588166400"/>
        <c:axId val="1588217648"/>
      </c:lineChart>
      <c:catAx>
        <c:axId val="158816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8217648"/>
        <c:crosses val="autoZero"/>
        <c:auto val="1"/>
        <c:lblAlgn val="ctr"/>
        <c:lblOffset val="100"/>
        <c:noMultiLvlLbl val="0"/>
      </c:catAx>
      <c:valAx>
        <c:axId val="1588217648"/>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核心一级资本充足率（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out"/>
        <c:minorTickMark val="out"/>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816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招行兴业贷款平均收益率对比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招行贷款平均收益率</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(Sheet1!$C$33,Sheet1!$F$33,Sheet1!$I$33,Sheet1!$L$33,Sheet1!$O$33)</c:f>
              <c:numCache>
                <c:formatCode>0.00%</c:formatCode>
                <c:ptCount val="5"/>
                <c:pt idx="0">
                  <c:v>4.9200000000000001E-2</c:v>
                </c:pt>
                <c:pt idx="1">
                  <c:v>4.8099999999999997E-2</c:v>
                </c:pt>
                <c:pt idx="2">
                  <c:v>5.1299999999999998E-2</c:v>
                </c:pt>
                <c:pt idx="3">
                  <c:v>5.1700000000000003E-2</c:v>
                </c:pt>
                <c:pt idx="4">
                  <c:v>4.8899999999999999E-2</c:v>
                </c:pt>
              </c:numCache>
            </c:numRef>
          </c:val>
          <c:smooth val="0"/>
          <c:extLst>
            <c:ext xmlns:c16="http://schemas.microsoft.com/office/drawing/2014/chart" uri="{C3380CC4-5D6E-409C-BE32-E72D297353CC}">
              <c16:uniqueId val="{00000000-1012-492A-B056-3F481F1C132B}"/>
            </c:ext>
          </c:extLst>
        </c:ser>
        <c:ser>
          <c:idx val="1"/>
          <c:order val="1"/>
          <c:tx>
            <c:v>兴业贷款平均收益率</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(Sheet1!$C$38,Sheet1!$F$38,Sheet1!$I$38,Sheet1!$L$38,Sheet1!$O$38)</c:f>
              <c:numCache>
                <c:formatCode>0.00%</c:formatCode>
                <c:ptCount val="5"/>
                <c:pt idx="0">
                  <c:v>4.99E-2</c:v>
                </c:pt>
                <c:pt idx="1">
                  <c:v>4.5900000000000003E-2</c:v>
                </c:pt>
                <c:pt idx="2">
                  <c:v>4.6899999999999997E-2</c:v>
                </c:pt>
                <c:pt idx="3">
                  <c:v>5.3400000000000003E-2</c:v>
                </c:pt>
                <c:pt idx="4">
                  <c:v>5.2999999999999999E-2</c:v>
                </c:pt>
              </c:numCache>
            </c:numRef>
          </c:val>
          <c:smooth val="0"/>
          <c:extLst>
            <c:ext xmlns:c16="http://schemas.microsoft.com/office/drawing/2014/chart" uri="{C3380CC4-5D6E-409C-BE32-E72D297353CC}">
              <c16:uniqueId val="{00000001-1012-492A-B056-3F481F1C132B}"/>
            </c:ext>
          </c:extLst>
        </c:ser>
        <c:dLbls>
          <c:showLegendKey val="0"/>
          <c:showVal val="0"/>
          <c:showCatName val="0"/>
          <c:showSerName val="0"/>
          <c:showPercent val="0"/>
          <c:showBubbleSize val="0"/>
        </c:dLbls>
        <c:marker val="1"/>
        <c:smooth val="0"/>
        <c:axId val="184524943"/>
        <c:axId val="2039624255"/>
      </c:lineChart>
      <c:catAx>
        <c:axId val="184524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24255"/>
        <c:crosses val="autoZero"/>
        <c:auto val="1"/>
        <c:lblAlgn val="ctr"/>
        <c:lblOffset val="100"/>
        <c:noMultiLvlLbl val="0"/>
      </c:catAx>
      <c:valAx>
        <c:axId val="2039624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贷款平均收益率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solidFill>
            <a:schemeClr val="bg1"/>
          </a:solid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524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招行兴业投资平均收益率对比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招行投资平均收益率</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(Sheet1!$C$34,Sheet1!$F$34,Sheet1!$I$34,Sheet1!$L$34,Sheet1!$O$34)</c:f>
              <c:numCache>
                <c:formatCode>0.00%</c:formatCode>
                <c:ptCount val="5"/>
                <c:pt idx="0">
                  <c:v>3.5200000000000002E-2</c:v>
                </c:pt>
                <c:pt idx="1">
                  <c:v>3.6299999999999999E-2</c:v>
                </c:pt>
                <c:pt idx="2">
                  <c:v>3.7699999999999997E-2</c:v>
                </c:pt>
                <c:pt idx="3">
                  <c:v>3.6600000000000001E-2</c:v>
                </c:pt>
                <c:pt idx="4">
                  <c:v>3.4200000000000001E-2</c:v>
                </c:pt>
              </c:numCache>
            </c:numRef>
          </c:val>
          <c:smooth val="0"/>
          <c:extLst>
            <c:ext xmlns:c16="http://schemas.microsoft.com/office/drawing/2014/chart" uri="{C3380CC4-5D6E-409C-BE32-E72D297353CC}">
              <c16:uniqueId val="{00000000-06FA-4370-8C60-F17F613365F5}"/>
            </c:ext>
          </c:extLst>
        </c:ser>
        <c:ser>
          <c:idx val="1"/>
          <c:order val="1"/>
          <c:tx>
            <c:v>兴业投资平均收益率</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(Sheet1!$C$39,Sheet1!$F$39,Sheet1!$I$39,Sheet1!$L$39,Sheet1!$O$39)</c:f>
              <c:numCache>
                <c:formatCode>0.00%</c:formatCode>
                <c:ptCount val="5"/>
                <c:pt idx="0">
                  <c:v>5.5399999999999998E-2</c:v>
                </c:pt>
                <c:pt idx="1">
                  <c:v>4.4999999999999998E-2</c:v>
                </c:pt>
                <c:pt idx="2">
                  <c:v>4.8000000000000001E-2</c:v>
                </c:pt>
                <c:pt idx="3">
                  <c:v>4.4600000000000001E-2</c:v>
                </c:pt>
                <c:pt idx="4">
                  <c:v>0.04</c:v>
                </c:pt>
              </c:numCache>
            </c:numRef>
          </c:val>
          <c:smooth val="0"/>
          <c:extLst>
            <c:ext xmlns:c16="http://schemas.microsoft.com/office/drawing/2014/chart" uri="{C3380CC4-5D6E-409C-BE32-E72D297353CC}">
              <c16:uniqueId val="{00000001-06FA-4370-8C60-F17F613365F5}"/>
            </c:ext>
          </c:extLst>
        </c:ser>
        <c:dLbls>
          <c:showLegendKey val="0"/>
          <c:showVal val="0"/>
          <c:showCatName val="0"/>
          <c:showSerName val="0"/>
          <c:showPercent val="0"/>
          <c:showBubbleSize val="0"/>
        </c:dLbls>
        <c:marker val="1"/>
        <c:smooth val="0"/>
        <c:axId val="184524943"/>
        <c:axId val="2039624255"/>
      </c:lineChart>
      <c:catAx>
        <c:axId val="184524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24255"/>
        <c:crosses val="autoZero"/>
        <c:auto val="1"/>
        <c:lblAlgn val="ctr"/>
        <c:lblOffset val="100"/>
        <c:noMultiLvlLbl val="0"/>
      </c:catAx>
      <c:valAx>
        <c:axId val="2039624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投资平均收益率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solidFill>
            <a:schemeClr val="bg1"/>
          </a:solid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524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招行贷款结构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Sheet1!$A$20</c:f>
              <c:strCache>
                <c:ptCount val="1"/>
                <c:pt idx="0">
                  <c:v>招行公司贷款占比</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Sheet1!$G$20:$K$20</c:f>
              <c:numCache>
                <c:formatCode>0.00%</c:formatCode>
                <c:ptCount val="5"/>
                <c:pt idx="0">
                  <c:v>0.4803</c:v>
                </c:pt>
                <c:pt idx="1">
                  <c:v>0.4667</c:v>
                </c:pt>
                <c:pt idx="2">
                  <c:v>0.45100000000000001</c:v>
                </c:pt>
                <c:pt idx="3">
                  <c:v>0.42349999999999999</c:v>
                </c:pt>
                <c:pt idx="4">
                  <c:v>0.40110000000000001</c:v>
                </c:pt>
              </c:numCache>
            </c:numRef>
          </c:val>
          <c:extLst>
            <c:ext xmlns:c16="http://schemas.microsoft.com/office/drawing/2014/chart" uri="{C3380CC4-5D6E-409C-BE32-E72D297353CC}">
              <c16:uniqueId val="{00000000-034E-48D1-9980-0DAD33C31E8B}"/>
            </c:ext>
          </c:extLst>
        </c:ser>
        <c:ser>
          <c:idx val="1"/>
          <c:order val="1"/>
          <c:tx>
            <c:strRef>
              <c:f>Sheet1!$A$21</c:f>
              <c:strCache>
                <c:ptCount val="1"/>
                <c:pt idx="0">
                  <c:v>招行个人贷款占比</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Sheet1!$G$21:$K$21</c:f>
              <c:numCache>
                <c:formatCode>0.00%</c:formatCode>
                <c:ptCount val="5"/>
                <c:pt idx="0">
                  <c:v>0.47229999999999994</c:v>
                </c:pt>
                <c:pt idx="1">
                  <c:v>0.50080000000000002</c:v>
                </c:pt>
                <c:pt idx="2">
                  <c:v>0.51090000000000002</c:v>
                </c:pt>
                <c:pt idx="3">
                  <c:v>0.52610000000000001</c:v>
                </c:pt>
                <c:pt idx="4">
                  <c:v>0.53310000000000002</c:v>
                </c:pt>
              </c:numCache>
            </c:numRef>
          </c:val>
          <c:extLst>
            <c:ext xmlns:c16="http://schemas.microsoft.com/office/drawing/2014/chart" uri="{C3380CC4-5D6E-409C-BE32-E72D297353CC}">
              <c16:uniqueId val="{00000001-034E-48D1-9980-0DAD33C31E8B}"/>
            </c:ext>
          </c:extLst>
        </c:ser>
        <c:ser>
          <c:idx val="2"/>
          <c:order val="2"/>
          <c:tx>
            <c:strRef>
              <c:f>Sheet1!$A$22</c:f>
              <c:strCache>
                <c:ptCount val="1"/>
                <c:pt idx="0">
                  <c:v>招行票据贴现占比</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Sheet1!$G$22:$K$22</c:f>
              <c:numCache>
                <c:formatCode>0.00%</c:formatCode>
                <c:ptCount val="5"/>
                <c:pt idx="0">
                  <c:v>4.7400000000000005E-2</c:v>
                </c:pt>
                <c:pt idx="1">
                  <c:v>3.2500000000000001E-2</c:v>
                </c:pt>
                <c:pt idx="2">
                  <c:v>3.8100000000000002E-2</c:v>
                </c:pt>
                <c:pt idx="3">
                  <c:v>5.0300000000000004E-2</c:v>
                </c:pt>
                <c:pt idx="4">
                  <c:v>6.5799999999999997E-2</c:v>
                </c:pt>
              </c:numCache>
            </c:numRef>
          </c:val>
          <c:extLst>
            <c:ext xmlns:c16="http://schemas.microsoft.com/office/drawing/2014/chart" uri="{C3380CC4-5D6E-409C-BE32-E72D297353CC}">
              <c16:uniqueId val="{00000002-034E-48D1-9980-0DAD33C31E8B}"/>
            </c:ext>
          </c:extLst>
        </c:ser>
        <c:dLbls>
          <c:dLblPos val="ctr"/>
          <c:showLegendKey val="0"/>
          <c:showVal val="1"/>
          <c:showCatName val="0"/>
          <c:showSerName val="0"/>
          <c:showPercent val="0"/>
          <c:showBubbleSize val="0"/>
        </c:dLbls>
        <c:gapWidth val="150"/>
        <c:overlap val="100"/>
        <c:axId val="179679119"/>
        <c:axId val="1874095871"/>
      </c:barChart>
      <c:catAx>
        <c:axId val="179679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4095871"/>
        <c:crosses val="autoZero"/>
        <c:auto val="1"/>
        <c:lblAlgn val="ctr"/>
        <c:lblOffset val="100"/>
        <c:noMultiLvlLbl val="0"/>
      </c:catAx>
      <c:valAx>
        <c:axId val="1874095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67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兴业贷款结构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Sheet1!$A$27</c:f>
              <c:strCache>
                <c:ptCount val="1"/>
                <c:pt idx="0">
                  <c:v>兴业公司贷款占比</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Sheet1!$G$27:$K$27</c:f>
              <c:numCache>
                <c:formatCode>0.00%</c:formatCode>
                <c:ptCount val="5"/>
                <c:pt idx="0">
                  <c:v>0.61130000000000007</c:v>
                </c:pt>
                <c:pt idx="1">
                  <c:v>0.6099</c:v>
                </c:pt>
                <c:pt idx="2">
                  <c:v>0.54810000000000003</c:v>
                </c:pt>
                <c:pt idx="3">
                  <c:v>0.52190000000000003</c:v>
                </c:pt>
                <c:pt idx="4">
                  <c:v>0.51529999999999998</c:v>
                </c:pt>
              </c:numCache>
            </c:numRef>
          </c:val>
          <c:extLst>
            <c:ext xmlns:c16="http://schemas.microsoft.com/office/drawing/2014/chart" uri="{C3380CC4-5D6E-409C-BE32-E72D297353CC}">
              <c16:uniqueId val="{00000000-AEDE-4469-AABD-695BB25FA343}"/>
            </c:ext>
          </c:extLst>
        </c:ser>
        <c:ser>
          <c:idx val="1"/>
          <c:order val="1"/>
          <c:tx>
            <c:strRef>
              <c:f>Sheet1!$A$28</c:f>
              <c:strCache>
                <c:ptCount val="1"/>
                <c:pt idx="0">
                  <c:v>兴业个人贷款占比</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Sheet1!$G$28:$K$28</c:f>
              <c:numCache>
                <c:formatCode>0.00%</c:formatCode>
                <c:ptCount val="5"/>
                <c:pt idx="0">
                  <c:v>0.36090000000000005</c:v>
                </c:pt>
                <c:pt idx="1">
                  <c:v>0.37469999999999998</c:v>
                </c:pt>
                <c:pt idx="2">
                  <c:v>0.39750000000000002</c:v>
                </c:pt>
                <c:pt idx="3">
                  <c:v>0.42119999999999996</c:v>
                </c:pt>
                <c:pt idx="4">
                  <c:v>0.43229999999999996</c:v>
                </c:pt>
              </c:numCache>
            </c:numRef>
          </c:val>
          <c:extLst>
            <c:ext xmlns:c16="http://schemas.microsoft.com/office/drawing/2014/chart" uri="{C3380CC4-5D6E-409C-BE32-E72D297353CC}">
              <c16:uniqueId val="{00000001-AEDE-4469-AABD-695BB25FA343}"/>
            </c:ext>
          </c:extLst>
        </c:ser>
        <c:ser>
          <c:idx val="2"/>
          <c:order val="2"/>
          <c:tx>
            <c:strRef>
              <c:f>Sheet1!$A$29</c:f>
              <c:strCache>
                <c:ptCount val="1"/>
                <c:pt idx="0">
                  <c:v>兴业票据贴现占比</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Sheet1!$G$29:$K$29</c:f>
              <c:numCache>
                <c:formatCode>0.00%</c:formatCode>
                <c:ptCount val="5"/>
                <c:pt idx="0">
                  <c:v>2.7900000000000001E-2</c:v>
                </c:pt>
                <c:pt idx="1">
                  <c:v>1.54E-2</c:v>
                </c:pt>
                <c:pt idx="2">
                  <c:v>5.4400000000000004E-2</c:v>
                </c:pt>
                <c:pt idx="3">
                  <c:v>5.6900000000000006E-2</c:v>
                </c:pt>
                <c:pt idx="4">
                  <c:v>5.2400000000000002E-2</c:v>
                </c:pt>
              </c:numCache>
            </c:numRef>
          </c:val>
          <c:extLst>
            <c:ext xmlns:c16="http://schemas.microsoft.com/office/drawing/2014/chart" uri="{C3380CC4-5D6E-409C-BE32-E72D297353CC}">
              <c16:uniqueId val="{00000002-AEDE-4469-AABD-695BB25FA343}"/>
            </c:ext>
          </c:extLst>
        </c:ser>
        <c:dLbls>
          <c:dLblPos val="ctr"/>
          <c:showLegendKey val="0"/>
          <c:showVal val="1"/>
          <c:showCatName val="0"/>
          <c:showSerName val="0"/>
          <c:showPercent val="0"/>
          <c:showBubbleSize val="0"/>
        </c:dLbls>
        <c:gapWidth val="150"/>
        <c:overlap val="100"/>
        <c:axId val="179679119"/>
        <c:axId val="1874095871"/>
      </c:barChart>
      <c:catAx>
        <c:axId val="179679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4095871"/>
        <c:crosses val="autoZero"/>
        <c:auto val="1"/>
        <c:lblAlgn val="ctr"/>
        <c:lblOffset val="100"/>
        <c:noMultiLvlLbl val="0"/>
      </c:catAx>
      <c:valAx>
        <c:axId val="1874095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67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招行兴业零售贷款收益率对比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Sheet1!$A$44</c:f>
              <c:strCache>
                <c:ptCount val="1"/>
                <c:pt idx="0">
                  <c:v>招行零售贷款收益率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Sheet1!$G$44:$K$44</c:f>
              <c:numCache>
                <c:formatCode>0.00%</c:formatCode>
                <c:ptCount val="5"/>
                <c:pt idx="0">
                  <c:v>6.0600000000000001E-2</c:v>
                </c:pt>
                <c:pt idx="1">
                  <c:v>5.8099999999999999E-2</c:v>
                </c:pt>
                <c:pt idx="2">
                  <c:v>6.0299999999999999E-2</c:v>
                </c:pt>
                <c:pt idx="3">
                  <c:v>6.0699999999999997E-2</c:v>
                </c:pt>
                <c:pt idx="4">
                  <c:v>5.8900000000000001E-2</c:v>
                </c:pt>
              </c:numCache>
            </c:numRef>
          </c:val>
          <c:smooth val="0"/>
          <c:extLst>
            <c:ext xmlns:c16="http://schemas.microsoft.com/office/drawing/2014/chart" uri="{C3380CC4-5D6E-409C-BE32-E72D297353CC}">
              <c16:uniqueId val="{00000000-E484-4BE2-879B-CEB530AB980E}"/>
            </c:ext>
          </c:extLst>
        </c:ser>
        <c:ser>
          <c:idx val="1"/>
          <c:order val="1"/>
          <c:tx>
            <c:strRef>
              <c:f>Sheet1!$A$47</c:f>
              <c:strCache>
                <c:ptCount val="1"/>
                <c:pt idx="0">
                  <c:v>兴业零售贷款收益率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Sheet1!$G$47:$K$47</c:f>
              <c:numCache>
                <c:formatCode>0.00%</c:formatCode>
                <c:ptCount val="5"/>
                <c:pt idx="0">
                  <c:v>4.82E-2</c:v>
                </c:pt>
                <c:pt idx="1">
                  <c:v>4.3700000000000003E-2</c:v>
                </c:pt>
                <c:pt idx="2">
                  <c:v>4.48E-2</c:v>
                </c:pt>
                <c:pt idx="3">
                  <c:v>6.2700000000000006E-2</c:v>
                </c:pt>
                <c:pt idx="4">
                  <c:v>6.59E-2</c:v>
                </c:pt>
              </c:numCache>
            </c:numRef>
          </c:val>
          <c:smooth val="0"/>
          <c:extLst>
            <c:ext xmlns:c16="http://schemas.microsoft.com/office/drawing/2014/chart" uri="{C3380CC4-5D6E-409C-BE32-E72D297353CC}">
              <c16:uniqueId val="{00000001-E484-4BE2-879B-CEB530AB980E}"/>
            </c:ext>
          </c:extLst>
        </c:ser>
        <c:dLbls>
          <c:showLegendKey val="0"/>
          <c:showVal val="0"/>
          <c:showCatName val="0"/>
          <c:showSerName val="0"/>
          <c:showPercent val="0"/>
          <c:showBubbleSize val="0"/>
        </c:dLbls>
        <c:marker val="1"/>
        <c:smooth val="0"/>
        <c:axId val="184524943"/>
        <c:axId val="2039624255"/>
      </c:lineChart>
      <c:catAx>
        <c:axId val="184524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24255"/>
        <c:crosses val="autoZero"/>
        <c:auto val="1"/>
        <c:lblAlgn val="ctr"/>
        <c:lblOffset val="100"/>
        <c:noMultiLvlLbl val="0"/>
      </c:catAx>
      <c:valAx>
        <c:axId val="2039624255"/>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贷款平均收益率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solidFill>
            <a:schemeClr val="bg1">
              <a:alpha val="96000"/>
            </a:schemeClr>
          </a:solid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524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招行兴业对公贷款收益率对比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Sheet1!$A$45</c:f>
              <c:strCache>
                <c:ptCount val="1"/>
                <c:pt idx="0">
                  <c:v>招行对公贷款收益率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Sheet1!$G$45:$K$45</c:f>
              <c:numCache>
                <c:formatCode>0.00%</c:formatCode>
                <c:ptCount val="5"/>
                <c:pt idx="0">
                  <c:v>4.2500000000000003E-2</c:v>
                </c:pt>
                <c:pt idx="1">
                  <c:v>3.9899999999999998E-2</c:v>
                </c:pt>
                <c:pt idx="2">
                  <c:v>4.24E-2</c:v>
                </c:pt>
                <c:pt idx="3">
                  <c:v>4.3400000000000001E-2</c:v>
                </c:pt>
                <c:pt idx="4">
                  <c:v>3.9800000000000002E-2</c:v>
                </c:pt>
              </c:numCache>
            </c:numRef>
          </c:val>
          <c:smooth val="0"/>
          <c:extLst>
            <c:ext xmlns:c16="http://schemas.microsoft.com/office/drawing/2014/chart" uri="{C3380CC4-5D6E-409C-BE32-E72D297353CC}">
              <c16:uniqueId val="{00000000-FECF-47CF-9888-5014F5E1EE36}"/>
            </c:ext>
          </c:extLst>
        </c:ser>
        <c:ser>
          <c:idx val="1"/>
          <c:order val="1"/>
          <c:tx>
            <c:strRef>
              <c:f>Sheet1!$A$48</c:f>
              <c:strCache>
                <c:ptCount val="1"/>
                <c:pt idx="0">
                  <c:v>兴业对公贷款收益率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Sheet1!$G$48:$K$48</c:f>
              <c:numCache>
                <c:formatCode>0.00%</c:formatCode>
                <c:ptCount val="5"/>
                <c:pt idx="0">
                  <c:v>5.0599999999999999E-2</c:v>
                </c:pt>
                <c:pt idx="1">
                  <c:v>4.7199999999999999E-2</c:v>
                </c:pt>
                <c:pt idx="2">
                  <c:v>4.82E-2</c:v>
                </c:pt>
                <c:pt idx="3">
                  <c:v>4.7100000000000003E-2</c:v>
                </c:pt>
                <c:pt idx="4">
                  <c:v>4.3999999999999997E-2</c:v>
                </c:pt>
              </c:numCache>
            </c:numRef>
          </c:val>
          <c:smooth val="0"/>
          <c:extLst>
            <c:ext xmlns:c16="http://schemas.microsoft.com/office/drawing/2014/chart" uri="{C3380CC4-5D6E-409C-BE32-E72D297353CC}">
              <c16:uniqueId val="{00000001-FECF-47CF-9888-5014F5E1EE36}"/>
            </c:ext>
          </c:extLst>
        </c:ser>
        <c:dLbls>
          <c:showLegendKey val="0"/>
          <c:showVal val="0"/>
          <c:showCatName val="0"/>
          <c:showSerName val="0"/>
          <c:showPercent val="0"/>
          <c:showBubbleSize val="0"/>
        </c:dLbls>
        <c:marker val="1"/>
        <c:smooth val="0"/>
        <c:axId val="184524943"/>
        <c:axId val="2039624255"/>
      </c:lineChart>
      <c:catAx>
        <c:axId val="184524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24255"/>
        <c:crosses val="autoZero"/>
        <c:auto val="1"/>
        <c:lblAlgn val="ctr"/>
        <c:lblOffset val="100"/>
        <c:noMultiLvlLbl val="0"/>
      </c:catAx>
      <c:valAx>
        <c:axId val="2039624255"/>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贷款平均收益率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solidFill>
            <a:schemeClr val="bg1">
              <a:alpha val="96000"/>
            </a:schemeClr>
          </a:solid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524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招行兴业贷款不良率对比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Sheet1!$A$53</c:f>
              <c:strCache>
                <c:ptCount val="1"/>
                <c:pt idx="0">
                  <c:v>招行贷款总不良率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Sheet1!$G$53:$K$53</c:f>
              <c:numCache>
                <c:formatCode>0.00%</c:formatCode>
                <c:ptCount val="5"/>
                <c:pt idx="0">
                  <c:v>1.8700000000000001E-2</c:v>
                </c:pt>
                <c:pt idx="1">
                  <c:v>1.61E-2</c:v>
                </c:pt>
                <c:pt idx="2">
                  <c:v>1.3600000000000001E-2</c:v>
                </c:pt>
                <c:pt idx="3">
                  <c:v>1.1599999999999999E-2</c:v>
                </c:pt>
                <c:pt idx="4">
                  <c:v>1.0700000000000001E-2</c:v>
                </c:pt>
              </c:numCache>
            </c:numRef>
          </c:val>
          <c:smooth val="0"/>
          <c:extLst>
            <c:ext xmlns:c16="http://schemas.microsoft.com/office/drawing/2014/chart" uri="{C3380CC4-5D6E-409C-BE32-E72D297353CC}">
              <c16:uniqueId val="{00000000-AAA8-4C2D-A9F5-E3CB55CAF6B9}"/>
            </c:ext>
          </c:extLst>
        </c:ser>
        <c:ser>
          <c:idx val="1"/>
          <c:order val="1"/>
          <c:tx>
            <c:strRef>
              <c:f>Sheet1!$A$58</c:f>
              <c:strCache>
                <c:ptCount val="1"/>
                <c:pt idx="0">
                  <c:v>兴业贷款总不良率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Sheet1!$G$58:$K$58</c:f>
              <c:numCache>
                <c:formatCode>0.00%</c:formatCode>
                <c:ptCount val="5"/>
                <c:pt idx="0">
                  <c:v>1.6500000000000001E-2</c:v>
                </c:pt>
                <c:pt idx="1">
                  <c:v>1.5900000000000001E-2</c:v>
                </c:pt>
                <c:pt idx="2">
                  <c:v>1.5700000000000002E-2</c:v>
                </c:pt>
                <c:pt idx="3">
                  <c:v>1.54E-2</c:v>
                </c:pt>
                <c:pt idx="4">
                  <c:v>1.2500000000000001E-2</c:v>
                </c:pt>
              </c:numCache>
            </c:numRef>
          </c:val>
          <c:smooth val="0"/>
          <c:extLst>
            <c:ext xmlns:c16="http://schemas.microsoft.com/office/drawing/2014/chart" uri="{C3380CC4-5D6E-409C-BE32-E72D297353CC}">
              <c16:uniqueId val="{00000001-AAA8-4C2D-A9F5-E3CB55CAF6B9}"/>
            </c:ext>
          </c:extLst>
        </c:ser>
        <c:dLbls>
          <c:showLegendKey val="0"/>
          <c:showVal val="0"/>
          <c:showCatName val="0"/>
          <c:showSerName val="0"/>
          <c:showPercent val="0"/>
          <c:showBubbleSize val="0"/>
        </c:dLbls>
        <c:marker val="1"/>
        <c:smooth val="0"/>
        <c:axId val="1764410047"/>
        <c:axId val="1767610895"/>
      </c:lineChart>
      <c:catAx>
        <c:axId val="1764410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610895"/>
        <c:crosses val="autoZero"/>
        <c:auto val="1"/>
        <c:lblAlgn val="ctr"/>
        <c:lblOffset val="100"/>
        <c:noMultiLvlLbl val="0"/>
      </c:catAx>
      <c:valAx>
        <c:axId val="1767610895"/>
        <c:scaling>
          <c:orientation val="minMax"/>
          <c:min val="8.0000000000000019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不良率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441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招行兴业对公贷款不良率对比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Sheet1!$A$51</c:f>
              <c:strCache>
                <c:ptCount val="1"/>
                <c:pt idx="0">
                  <c:v>招行对公贷款不良率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Sheet1!$G$51:$K$51</c:f>
              <c:numCache>
                <c:formatCode>0.00%</c:formatCode>
                <c:ptCount val="5"/>
                <c:pt idx="0">
                  <c:v>2.92E-2</c:v>
                </c:pt>
                <c:pt idx="1">
                  <c:v>2.5000000000000001E-2</c:v>
                </c:pt>
                <c:pt idx="2">
                  <c:v>2.1299999999999999E-2</c:v>
                </c:pt>
                <c:pt idx="3">
                  <c:v>1.84E-2</c:v>
                </c:pt>
                <c:pt idx="4">
                  <c:v>1.5800000000000002E-2</c:v>
                </c:pt>
              </c:numCache>
            </c:numRef>
          </c:val>
          <c:smooth val="0"/>
          <c:extLst>
            <c:ext xmlns:c16="http://schemas.microsoft.com/office/drawing/2014/chart" uri="{C3380CC4-5D6E-409C-BE32-E72D297353CC}">
              <c16:uniqueId val="{00000000-ED56-482C-A726-4CF37D72EE8C}"/>
            </c:ext>
          </c:extLst>
        </c:ser>
        <c:ser>
          <c:idx val="1"/>
          <c:order val="1"/>
          <c:tx>
            <c:strRef>
              <c:f>Sheet1!$A$56</c:f>
              <c:strCache>
                <c:ptCount val="1"/>
                <c:pt idx="0">
                  <c:v>兴业对公贷款不良率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Sheet1!$G$56:$K$56</c:f>
              <c:numCache>
                <c:formatCode>0.00%</c:formatCode>
                <c:ptCount val="5"/>
                <c:pt idx="0">
                  <c:v>2.1399999999999999E-2</c:v>
                </c:pt>
                <c:pt idx="1">
                  <c:v>2.12E-2</c:v>
                </c:pt>
                <c:pt idx="2">
                  <c:v>2.4E-2</c:v>
                </c:pt>
                <c:pt idx="3">
                  <c:v>2.35E-2</c:v>
                </c:pt>
                <c:pt idx="4">
                  <c:v>1.55E-2</c:v>
                </c:pt>
              </c:numCache>
            </c:numRef>
          </c:val>
          <c:smooth val="0"/>
          <c:extLst>
            <c:ext xmlns:c16="http://schemas.microsoft.com/office/drawing/2014/chart" uri="{C3380CC4-5D6E-409C-BE32-E72D297353CC}">
              <c16:uniqueId val="{00000001-ED56-482C-A726-4CF37D72EE8C}"/>
            </c:ext>
          </c:extLst>
        </c:ser>
        <c:dLbls>
          <c:showLegendKey val="0"/>
          <c:showVal val="0"/>
          <c:showCatName val="0"/>
          <c:showSerName val="0"/>
          <c:showPercent val="0"/>
          <c:showBubbleSize val="0"/>
        </c:dLbls>
        <c:marker val="1"/>
        <c:smooth val="0"/>
        <c:axId val="1764410047"/>
        <c:axId val="1767610895"/>
      </c:lineChart>
      <c:catAx>
        <c:axId val="1764410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610895"/>
        <c:crosses val="autoZero"/>
        <c:auto val="1"/>
        <c:lblAlgn val="ctr"/>
        <c:lblOffset val="100"/>
        <c:noMultiLvlLbl val="0"/>
      </c:catAx>
      <c:valAx>
        <c:axId val="1767610895"/>
        <c:scaling>
          <c:orientation val="minMax"/>
          <c:min val="8.0000000000000019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不良率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441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招行兴业零售贷款不良率对比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Sheet1!$A$52</c:f>
              <c:strCache>
                <c:ptCount val="1"/>
                <c:pt idx="0">
                  <c:v>招行零售贷款不良率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Sheet1!$G$52:$K$52</c:f>
              <c:numCache>
                <c:formatCode>0.00%</c:formatCode>
                <c:ptCount val="5"/>
                <c:pt idx="0" formatCode="0%">
                  <c:v>0.01</c:v>
                </c:pt>
                <c:pt idx="1">
                  <c:v>8.8999999999999999E-3</c:v>
                </c:pt>
                <c:pt idx="2">
                  <c:v>7.9000000000000008E-3</c:v>
                </c:pt>
                <c:pt idx="3">
                  <c:v>7.3000000000000001E-3</c:v>
                </c:pt>
                <c:pt idx="4">
                  <c:v>8.0999999999999996E-3</c:v>
                </c:pt>
              </c:numCache>
            </c:numRef>
          </c:val>
          <c:smooth val="0"/>
          <c:extLst>
            <c:ext xmlns:c16="http://schemas.microsoft.com/office/drawing/2014/chart" uri="{C3380CC4-5D6E-409C-BE32-E72D297353CC}">
              <c16:uniqueId val="{00000000-E12A-4BE0-B1F9-2D7C6B45BE59}"/>
            </c:ext>
          </c:extLst>
        </c:ser>
        <c:ser>
          <c:idx val="1"/>
          <c:order val="1"/>
          <c:tx>
            <c:strRef>
              <c:f>Sheet1!$A$57</c:f>
              <c:strCache>
                <c:ptCount val="1"/>
                <c:pt idx="0">
                  <c:v>兴业零售贷款不良率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Sheet1!$G$57:$K$57</c:f>
              <c:numCache>
                <c:formatCode>0.00%</c:formatCode>
                <c:ptCount val="5"/>
                <c:pt idx="0">
                  <c:v>9.2999999999999992E-3</c:v>
                </c:pt>
                <c:pt idx="1">
                  <c:v>8.0000000000000002E-3</c:v>
                </c:pt>
                <c:pt idx="2">
                  <c:v>6.4000000000000003E-3</c:v>
                </c:pt>
                <c:pt idx="3">
                  <c:v>7.4999999999999997E-3</c:v>
                </c:pt>
                <c:pt idx="4">
                  <c:v>1.04E-2</c:v>
                </c:pt>
              </c:numCache>
            </c:numRef>
          </c:val>
          <c:smooth val="0"/>
          <c:extLst>
            <c:ext xmlns:c16="http://schemas.microsoft.com/office/drawing/2014/chart" uri="{C3380CC4-5D6E-409C-BE32-E72D297353CC}">
              <c16:uniqueId val="{00000001-E12A-4BE0-B1F9-2D7C6B45BE59}"/>
            </c:ext>
          </c:extLst>
        </c:ser>
        <c:dLbls>
          <c:showLegendKey val="0"/>
          <c:showVal val="0"/>
          <c:showCatName val="0"/>
          <c:showSerName val="0"/>
          <c:showPercent val="0"/>
          <c:showBubbleSize val="0"/>
        </c:dLbls>
        <c:marker val="1"/>
        <c:smooth val="0"/>
        <c:axId val="1764410047"/>
        <c:axId val="1767610895"/>
      </c:lineChart>
      <c:catAx>
        <c:axId val="1764410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610895"/>
        <c:crosses val="autoZero"/>
        <c:auto val="1"/>
        <c:lblAlgn val="ctr"/>
        <c:lblOffset val="100"/>
        <c:noMultiLvlLbl val="0"/>
      </c:catAx>
      <c:valAx>
        <c:axId val="1767610895"/>
        <c:scaling>
          <c:orientation val="minMax"/>
          <c:min val="4.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不良率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0"/>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441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招行兴业信用卡不良率对比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Sheet1!$A$62</c:f>
              <c:strCache>
                <c:ptCount val="1"/>
                <c:pt idx="0">
                  <c:v>招行信用卡不良率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Sheet1!$G$62:$K$62</c:f>
              <c:numCache>
                <c:formatCode>0.00%</c:formatCode>
                <c:ptCount val="5"/>
                <c:pt idx="0">
                  <c:v>1.3999999999999999E-2</c:v>
                </c:pt>
                <c:pt idx="1">
                  <c:v>1.11E-2</c:v>
                </c:pt>
                <c:pt idx="2">
                  <c:v>1.11E-2</c:v>
                </c:pt>
                <c:pt idx="3">
                  <c:v>1.3500000000000002E-2</c:v>
                </c:pt>
                <c:pt idx="4">
                  <c:v>1.66E-2</c:v>
                </c:pt>
              </c:numCache>
            </c:numRef>
          </c:val>
          <c:smooth val="0"/>
          <c:extLst>
            <c:ext xmlns:c16="http://schemas.microsoft.com/office/drawing/2014/chart" uri="{C3380CC4-5D6E-409C-BE32-E72D297353CC}">
              <c16:uniqueId val="{00000000-4A20-48A5-9596-229DC4C1CEEC}"/>
            </c:ext>
          </c:extLst>
        </c:ser>
        <c:ser>
          <c:idx val="1"/>
          <c:order val="1"/>
          <c:tx>
            <c:strRef>
              <c:f>Sheet1!$A$63</c:f>
              <c:strCache>
                <c:ptCount val="1"/>
                <c:pt idx="0">
                  <c:v>兴业信用卡不良率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Sheet1!$G$63:$K$63</c:f>
              <c:numCache>
                <c:formatCode>0.00%</c:formatCode>
                <c:ptCount val="5"/>
                <c:pt idx="0">
                  <c:v>1.44E-2</c:v>
                </c:pt>
                <c:pt idx="1">
                  <c:v>1.29E-2</c:v>
                </c:pt>
                <c:pt idx="2">
                  <c:v>1.06E-2</c:v>
                </c:pt>
                <c:pt idx="3">
                  <c:v>1.47E-2</c:v>
                </c:pt>
                <c:pt idx="4">
                  <c:v>2.1600000000000001E-2</c:v>
                </c:pt>
              </c:numCache>
            </c:numRef>
          </c:val>
          <c:smooth val="0"/>
          <c:extLst>
            <c:ext xmlns:c16="http://schemas.microsoft.com/office/drawing/2014/chart" uri="{C3380CC4-5D6E-409C-BE32-E72D297353CC}">
              <c16:uniqueId val="{00000001-4A20-48A5-9596-229DC4C1CEEC}"/>
            </c:ext>
          </c:extLst>
        </c:ser>
        <c:dLbls>
          <c:showLegendKey val="0"/>
          <c:showVal val="0"/>
          <c:showCatName val="0"/>
          <c:showSerName val="0"/>
          <c:showPercent val="0"/>
          <c:showBubbleSize val="0"/>
        </c:dLbls>
        <c:marker val="1"/>
        <c:smooth val="0"/>
        <c:axId val="1770484623"/>
        <c:axId val="1767104239"/>
      </c:lineChart>
      <c:catAx>
        <c:axId val="1770484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04239"/>
        <c:crosses val="autoZero"/>
        <c:auto val="1"/>
        <c:lblAlgn val="ctr"/>
        <c:lblOffset val="100"/>
        <c:noMultiLvlLbl val="0"/>
      </c:catAx>
      <c:valAx>
        <c:axId val="1767104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信用卡不良率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0484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主流上市银行一级资本充足率</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万得!$B$45</c:f>
              <c:strCache>
                <c:ptCount val="1"/>
                <c:pt idx="0">
                  <c:v>工商银行</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万得!$C$45:$J$45</c:f>
              <c:numCache>
                <c:formatCode>#,##0.00_ </c:formatCode>
                <c:ptCount val="8"/>
                <c:pt idx="0">
                  <c:v>10.57</c:v>
                </c:pt>
                <c:pt idx="1">
                  <c:v>12.19</c:v>
                </c:pt>
                <c:pt idx="2">
                  <c:v>13.48</c:v>
                </c:pt>
                <c:pt idx="3">
                  <c:v>13.42</c:v>
                </c:pt>
                <c:pt idx="4">
                  <c:v>13.27</c:v>
                </c:pt>
                <c:pt idx="5">
                  <c:v>13.45</c:v>
                </c:pt>
                <c:pt idx="6">
                  <c:v>14.27</c:v>
                </c:pt>
                <c:pt idx="7">
                  <c:v>14.28</c:v>
                </c:pt>
              </c:numCache>
            </c:numRef>
          </c:val>
          <c:smooth val="0"/>
          <c:extLst>
            <c:ext xmlns:c16="http://schemas.microsoft.com/office/drawing/2014/chart" uri="{C3380CC4-5D6E-409C-BE32-E72D297353CC}">
              <c16:uniqueId val="{00000000-56F7-4E2C-8611-4EB6477B0D44}"/>
            </c:ext>
          </c:extLst>
        </c:ser>
        <c:ser>
          <c:idx val="1"/>
          <c:order val="1"/>
          <c:tx>
            <c:strRef>
              <c:f>万得!$B$46</c:f>
              <c:strCache>
                <c:ptCount val="1"/>
                <c:pt idx="0">
                  <c:v>农业银行</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万得!$C$46:$J$46</c:f>
              <c:numCache>
                <c:formatCode>#,##0.00_ </c:formatCode>
                <c:ptCount val="8"/>
                <c:pt idx="0">
                  <c:v>9.25</c:v>
                </c:pt>
                <c:pt idx="1">
                  <c:v>9.4600000000000009</c:v>
                </c:pt>
                <c:pt idx="2">
                  <c:v>10.96</c:v>
                </c:pt>
                <c:pt idx="3">
                  <c:v>11.06</c:v>
                </c:pt>
                <c:pt idx="4">
                  <c:v>11.26</c:v>
                </c:pt>
                <c:pt idx="5">
                  <c:v>12.13</c:v>
                </c:pt>
                <c:pt idx="6">
                  <c:v>12.53</c:v>
                </c:pt>
                <c:pt idx="7">
                  <c:v>12.92</c:v>
                </c:pt>
              </c:numCache>
            </c:numRef>
          </c:val>
          <c:smooth val="0"/>
          <c:extLst>
            <c:ext xmlns:c16="http://schemas.microsoft.com/office/drawing/2014/chart" uri="{C3380CC4-5D6E-409C-BE32-E72D297353CC}">
              <c16:uniqueId val="{00000001-56F7-4E2C-8611-4EB6477B0D44}"/>
            </c:ext>
          </c:extLst>
        </c:ser>
        <c:ser>
          <c:idx val="2"/>
          <c:order val="2"/>
          <c:tx>
            <c:strRef>
              <c:f>万得!$B$47</c:f>
              <c:strCache>
                <c:ptCount val="1"/>
                <c:pt idx="0">
                  <c:v>建设银行</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万得!$C$47:$J$47</c:f>
              <c:numCache>
                <c:formatCode>#,##0.00_ </c:formatCode>
                <c:ptCount val="8"/>
                <c:pt idx="0">
                  <c:v>10.75</c:v>
                </c:pt>
                <c:pt idx="1">
                  <c:v>12.12</c:v>
                </c:pt>
                <c:pt idx="2">
                  <c:v>13.32</c:v>
                </c:pt>
                <c:pt idx="3">
                  <c:v>13.15</c:v>
                </c:pt>
                <c:pt idx="4">
                  <c:v>13.71</c:v>
                </c:pt>
                <c:pt idx="5">
                  <c:v>14.42</c:v>
                </c:pt>
                <c:pt idx="6">
                  <c:v>14.68</c:v>
                </c:pt>
                <c:pt idx="7">
                  <c:v>14.22</c:v>
                </c:pt>
              </c:numCache>
            </c:numRef>
          </c:val>
          <c:smooth val="0"/>
          <c:extLst>
            <c:ext xmlns:c16="http://schemas.microsoft.com/office/drawing/2014/chart" uri="{C3380CC4-5D6E-409C-BE32-E72D297353CC}">
              <c16:uniqueId val="{00000002-56F7-4E2C-8611-4EB6477B0D44}"/>
            </c:ext>
          </c:extLst>
        </c:ser>
        <c:ser>
          <c:idx val="3"/>
          <c:order val="3"/>
          <c:tx>
            <c:strRef>
              <c:f>万得!$B$48</c:f>
              <c:strCache>
                <c:ptCount val="1"/>
                <c:pt idx="0">
                  <c:v>中国银行</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万得!$C$48:$J$48</c:f>
              <c:numCache>
                <c:formatCode>#,##0.00_ </c:formatCode>
                <c:ptCount val="8"/>
                <c:pt idx="0">
                  <c:v>9.6999999999999993</c:v>
                </c:pt>
                <c:pt idx="1">
                  <c:v>11.35</c:v>
                </c:pt>
                <c:pt idx="2">
                  <c:v>12.07</c:v>
                </c:pt>
                <c:pt idx="3">
                  <c:v>12.28</c:v>
                </c:pt>
                <c:pt idx="4">
                  <c:v>12.02</c:v>
                </c:pt>
                <c:pt idx="5">
                  <c:v>12.27</c:v>
                </c:pt>
                <c:pt idx="6">
                  <c:v>12.79</c:v>
                </c:pt>
                <c:pt idx="7">
                  <c:v>13.19</c:v>
                </c:pt>
              </c:numCache>
            </c:numRef>
          </c:val>
          <c:smooth val="0"/>
          <c:extLst>
            <c:ext xmlns:c16="http://schemas.microsoft.com/office/drawing/2014/chart" uri="{C3380CC4-5D6E-409C-BE32-E72D297353CC}">
              <c16:uniqueId val="{00000003-56F7-4E2C-8611-4EB6477B0D44}"/>
            </c:ext>
          </c:extLst>
        </c:ser>
        <c:ser>
          <c:idx val="4"/>
          <c:order val="4"/>
          <c:tx>
            <c:strRef>
              <c:f>万得!$B$49</c:f>
              <c:strCache>
                <c:ptCount val="1"/>
                <c:pt idx="0">
                  <c:v>交通银行</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万得!$C$49:$J$49</c:f>
              <c:numCache>
                <c:formatCode>#,##0.00_ </c:formatCode>
                <c:ptCount val="8"/>
                <c:pt idx="0">
                  <c:v>9.76</c:v>
                </c:pt>
                <c:pt idx="1">
                  <c:v>11.3</c:v>
                </c:pt>
                <c:pt idx="2">
                  <c:v>11.46</c:v>
                </c:pt>
                <c:pt idx="3">
                  <c:v>12.16</c:v>
                </c:pt>
                <c:pt idx="4">
                  <c:v>11.86</c:v>
                </c:pt>
                <c:pt idx="5">
                  <c:v>12.21</c:v>
                </c:pt>
                <c:pt idx="6">
                  <c:v>12.85</c:v>
                </c:pt>
                <c:pt idx="7">
                  <c:v>12.88</c:v>
                </c:pt>
              </c:numCache>
            </c:numRef>
          </c:val>
          <c:smooth val="0"/>
          <c:extLst>
            <c:ext xmlns:c16="http://schemas.microsoft.com/office/drawing/2014/chart" uri="{C3380CC4-5D6E-409C-BE32-E72D297353CC}">
              <c16:uniqueId val="{00000004-56F7-4E2C-8611-4EB6477B0D44}"/>
            </c:ext>
          </c:extLst>
        </c:ser>
        <c:ser>
          <c:idx val="5"/>
          <c:order val="5"/>
          <c:tx>
            <c:strRef>
              <c:f>万得!$B$50</c:f>
              <c:strCache>
                <c:ptCount val="1"/>
                <c:pt idx="0">
                  <c:v>邮储银行</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万得!$C$50:$J$50</c:f>
              <c:numCache>
                <c:formatCode>#,##0.00_ </c:formatCode>
                <c:ptCount val="8"/>
                <c:pt idx="0">
                  <c:v>7.72</c:v>
                </c:pt>
                <c:pt idx="1">
                  <c:v>8.44</c:v>
                </c:pt>
                <c:pt idx="2">
                  <c:v>8.5299999999999994</c:v>
                </c:pt>
                <c:pt idx="3">
                  <c:v>8.6300000000000008</c:v>
                </c:pt>
                <c:pt idx="4">
                  <c:v>9.67</c:v>
                </c:pt>
                <c:pt idx="5">
                  <c:v>10.88</c:v>
                </c:pt>
                <c:pt idx="6">
                  <c:v>10.87</c:v>
                </c:pt>
                <c:pt idx="7">
                  <c:v>11.86</c:v>
                </c:pt>
              </c:numCache>
            </c:numRef>
          </c:val>
          <c:smooth val="0"/>
          <c:extLst>
            <c:ext xmlns:c16="http://schemas.microsoft.com/office/drawing/2014/chart" uri="{C3380CC4-5D6E-409C-BE32-E72D297353CC}">
              <c16:uniqueId val="{00000005-56F7-4E2C-8611-4EB6477B0D44}"/>
            </c:ext>
          </c:extLst>
        </c:ser>
        <c:ser>
          <c:idx val="6"/>
          <c:order val="6"/>
          <c:tx>
            <c:strRef>
              <c:f>万得!$B$51</c:f>
              <c:strCache>
                <c:ptCount val="1"/>
                <c:pt idx="0">
                  <c:v>浦发银行</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万得!$C$51:$J$51</c:f>
              <c:numCache>
                <c:formatCode>#,##0.00_ </c:formatCode>
                <c:ptCount val="8"/>
                <c:pt idx="0">
                  <c:v>8.58</c:v>
                </c:pt>
                <c:pt idx="1">
                  <c:v>9.1300000000000008</c:v>
                </c:pt>
                <c:pt idx="2">
                  <c:v>9.4499999999999993</c:v>
                </c:pt>
                <c:pt idx="3">
                  <c:v>9.3000000000000007</c:v>
                </c:pt>
                <c:pt idx="4">
                  <c:v>10.24</c:v>
                </c:pt>
                <c:pt idx="5">
                  <c:v>10.79</c:v>
                </c:pt>
                <c:pt idx="6">
                  <c:v>11.53</c:v>
                </c:pt>
                <c:pt idx="7">
                  <c:v>11.54</c:v>
                </c:pt>
              </c:numCache>
            </c:numRef>
          </c:val>
          <c:smooth val="0"/>
          <c:extLst>
            <c:ext xmlns:c16="http://schemas.microsoft.com/office/drawing/2014/chart" uri="{C3380CC4-5D6E-409C-BE32-E72D297353CC}">
              <c16:uniqueId val="{00000006-56F7-4E2C-8611-4EB6477B0D44}"/>
            </c:ext>
          </c:extLst>
        </c:ser>
        <c:ser>
          <c:idx val="7"/>
          <c:order val="7"/>
          <c:tx>
            <c:strRef>
              <c:f>万得!$B$52</c:f>
              <c:strCache>
                <c:ptCount val="1"/>
                <c:pt idx="0">
                  <c:v>招商银行</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万得!$C$52:$J$52</c:f>
              <c:numCache>
                <c:formatCode>#,##0.00_ </c:formatCode>
                <c:ptCount val="8"/>
                <c:pt idx="0">
                  <c:v>9.27</c:v>
                </c:pt>
                <c:pt idx="1">
                  <c:v>10.44</c:v>
                </c:pt>
                <c:pt idx="2">
                  <c:v>10.83</c:v>
                </c:pt>
                <c:pt idx="3">
                  <c:v>11.54</c:v>
                </c:pt>
                <c:pt idx="4">
                  <c:v>13.02</c:v>
                </c:pt>
                <c:pt idx="5">
                  <c:v>12.62</c:v>
                </c:pt>
                <c:pt idx="6">
                  <c:v>12.69</c:v>
                </c:pt>
                <c:pt idx="7">
                  <c:v>13.98</c:v>
                </c:pt>
              </c:numCache>
            </c:numRef>
          </c:val>
          <c:smooth val="0"/>
          <c:extLst>
            <c:ext xmlns:c16="http://schemas.microsoft.com/office/drawing/2014/chart" uri="{C3380CC4-5D6E-409C-BE32-E72D297353CC}">
              <c16:uniqueId val="{00000007-56F7-4E2C-8611-4EB6477B0D44}"/>
            </c:ext>
          </c:extLst>
        </c:ser>
        <c:ser>
          <c:idx val="8"/>
          <c:order val="8"/>
          <c:tx>
            <c:strRef>
              <c:f>万得!$B$53</c:f>
              <c:strCache>
                <c:ptCount val="1"/>
                <c:pt idx="0">
                  <c:v>中信银行</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万得!$C$53:$J$53</c:f>
              <c:numCache>
                <c:formatCode>#,##0.00_ </c:formatCode>
                <c:ptCount val="8"/>
                <c:pt idx="0">
                  <c:v>8.7799999999999994</c:v>
                </c:pt>
                <c:pt idx="1">
                  <c:v>8.99</c:v>
                </c:pt>
                <c:pt idx="2">
                  <c:v>9.17</c:v>
                </c:pt>
                <c:pt idx="3">
                  <c:v>9.65</c:v>
                </c:pt>
                <c:pt idx="4">
                  <c:v>9.34</c:v>
                </c:pt>
                <c:pt idx="5">
                  <c:v>9.43</c:v>
                </c:pt>
                <c:pt idx="6">
                  <c:v>10.199999999999999</c:v>
                </c:pt>
                <c:pt idx="7">
                  <c:v>10.18</c:v>
                </c:pt>
              </c:numCache>
            </c:numRef>
          </c:val>
          <c:smooth val="0"/>
          <c:extLst>
            <c:ext xmlns:c16="http://schemas.microsoft.com/office/drawing/2014/chart" uri="{C3380CC4-5D6E-409C-BE32-E72D297353CC}">
              <c16:uniqueId val="{00000008-56F7-4E2C-8611-4EB6477B0D44}"/>
            </c:ext>
          </c:extLst>
        </c:ser>
        <c:ser>
          <c:idx val="9"/>
          <c:order val="9"/>
          <c:tx>
            <c:strRef>
              <c:f>万得!$B$54</c:f>
              <c:strCache>
                <c:ptCount val="1"/>
                <c:pt idx="0">
                  <c:v>兴业银行</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万得!$C$54:$J$54</c:f>
              <c:numCache>
                <c:formatCode>#,##0.00_ </c:formatCode>
                <c:ptCount val="8"/>
                <c:pt idx="0">
                  <c:v>8.68</c:v>
                </c:pt>
                <c:pt idx="1">
                  <c:v>8.89</c:v>
                </c:pt>
                <c:pt idx="2">
                  <c:v>9.19</c:v>
                </c:pt>
                <c:pt idx="3">
                  <c:v>9.23</c:v>
                </c:pt>
                <c:pt idx="4">
                  <c:v>9.67</c:v>
                </c:pt>
                <c:pt idx="5">
                  <c:v>9.85</c:v>
                </c:pt>
                <c:pt idx="6">
                  <c:v>10.56</c:v>
                </c:pt>
                <c:pt idx="7">
                  <c:v>10.85</c:v>
                </c:pt>
              </c:numCache>
            </c:numRef>
          </c:val>
          <c:smooth val="0"/>
          <c:extLst>
            <c:ext xmlns:c16="http://schemas.microsoft.com/office/drawing/2014/chart" uri="{C3380CC4-5D6E-409C-BE32-E72D297353CC}">
              <c16:uniqueId val="{00000009-56F7-4E2C-8611-4EB6477B0D44}"/>
            </c:ext>
          </c:extLst>
        </c:ser>
        <c:ser>
          <c:idx val="10"/>
          <c:order val="10"/>
          <c:tx>
            <c:strRef>
              <c:f>万得!$B$55</c:f>
              <c:strCache>
                <c:ptCount val="1"/>
                <c:pt idx="0">
                  <c:v>光大银行</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万得!$C$55:$J$55</c:f>
              <c:numCache>
                <c:formatCode>#,##0.00_ </c:formatCode>
                <c:ptCount val="8"/>
                <c:pt idx="0">
                  <c:v>9.11</c:v>
                </c:pt>
                <c:pt idx="1">
                  <c:v>9.34</c:v>
                </c:pt>
                <c:pt idx="2">
                  <c:v>10.15</c:v>
                </c:pt>
                <c:pt idx="3">
                  <c:v>9.34</c:v>
                </c:pt>
                <c:pt idx="4">
                  <c:v>10.61</c:v>
                </c:pt>
                <c:pt idx="5">
                  <c:v>10.09</c:v>
                </c:pt>
                <c:pt idx="6">
                  <c:v>11.08</c:v>
                </c:pt>
                <c:pt idx="7">
                  <c:v>11.75</c:v>
                </c:pt>
              </c:numCache>
            </c:numRef>
          </c:val>
          <c:smooth val="0"/>
          <c:extLst>
            <c:ext xmlns:c16="http://schemas.microsoft.com/office/drawing/2014/chart" uri="{C3380CC4-5D6E-409C-BE32-E72D297353CC}">
              <c16:uniqueId val="{0000000A-56F7-4E2C-8611-4EB6477B0D44}"/>
            </c:ext>
          </c:extLst>
        </c:ser>
        <c:ser>
          <c:idx val="11"/>
          <c:order val="11"/>
          <c:tx>
            <c:strRef>
              <c:f>万得!$B$56</c:f>
              <c:strCache>
                <c:ptCount val="1"/>
                <c:pt idx="0">
                  <c:v>广发银行</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万得!$C$56:$J$56</c:f>
              <c:numCache>
                <c:formatCode>#,##0.00_ </c:formatCode>
                <c:ptCount val="8"/>
                <c:pt idx="0">
                  <c:v>7.5</c:v>
                </c:pt>
                <c:pt idx="1">
                  <c:v>8.1199999999999992</c:v>
                </c:pt>
                <c:pt idx="2">
                  <c:v>8.02</c:v>
                </c:pt>
                <c:pt idx="3">
                  <c:v>7.75</c:v>
                </c:pt>
                <c:pt idx="4">
                  <c:v>8.01</c:v>
                </c:pt>
                <c:pt idx="5">
                  <c:v>9.41</c:v>
                </c:pt>
                <c:pt idx="6">
                  <c:v>10.65</c:v>
                </c:pt>
                <c:pt idx="7">
                  <c:v>9.85</c:v>
                </c:pt>
              </c:numCache>
            </c:numRef>
          </c:val>
          <c:smooth val="0"/>
          <c:extLst>
            <c:ext xmlns:c16="http://schemas.microsoft.com/office/drawing/2014/chart" uri="{C3380CC4-5D6E-409C-BE32-E72D297353CC}">
              <c16:uniqueId val="{0000000B-56F7-4E2C-8611-4EB6477B0D44}"/>
            </c:ext>
          </c:extLst>
        </c:ser>
        <c:ser>
          <c:idx val="12"/>
          <c:order val="12"/>
          <c:tx>
            <c:strRef>
              <c:f>万得!$B$57</c:f>
              <c:strCache>
                <c:ptCount val="1"/>
                <c:pt idx="0">
                  <c:v>华夏银行</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万得!$C$57:$J$57</c:f>
              <c:numCache>
                <c:formatCode>#,##0.00_ </c:formatCode>
                <c:ptCount val="8"/>
                <c:pt idx="0">
                  <c:v>8.0299999999999994</c:v>
                </c:pt>
                <c:pt idx="1">
                  <c:v>8.49</c:v>
                </c:pt>
                <c:pt idx="2">
                  <c:v>8.89</c:v>
                </c:pt>
                <c:pt idx="3">
                  <c:v>9.6999999999999993</c:v>
                </c:pt>
                <c:pt idx="4">
                  <c:v>9.3699999999999992</c:v>
                </c:pt>
                <c:pt idx="5">
                  <c:v>10.43</c:v>
                </c:pt>
                <c:pt idx="6">
                  <c:v>11.91</c:v>
                </c:pt>
                <c:pt idx="7">
                  <c:v>11.17</c:v>
                </c:pt>
              </c:numCache>
            </c:numRef>
          </c:val>
          <c:smooth val="0"/>
          <c:extLst>
            <c:ext xmlns:c16="http://schemas.microsoft.com/office/drawing/2014/chart" uri="{C3380CC4-5D6E-409C-BE32-E72D297353CC}">
              <c16:uniqueId val="{0000000C-56F7-4E2C-8611-4EB6477B0D44}"/>
            </c:ext>
          </c:extLst>
        </c:ser>
        <c:ser>
          <c:idx val="13"/>
          <c:order val="13"/>
          <c:tx>
            <c:strRef>
              <c:f>万得!$B$58</c:f>
              <c:strCache>
                <c:ptCount val="1"/>
                <c:pt idx="0">
                  <c:v>民生银行</c:v>
                </c:pt>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万得!$C$58:$J$58</c:f>
              <c:numCache>
                <c:formatCode>#,##0.00_ </c:formatCode>
                <c:ptCount val="8"/>
                <c:pt idx="0">
                  <c:v>8.7200000000000006</c:v>
                </c:pt>
                <c:pt idx="1">
                  <c:v>8.59</c:v>
                </c:pt>
                <c:pt idx="2">
                  <c:v>9.19</c:v>
                </c:pt>
                <c:pt idx="3">
                  <c:v>9.2200000000000006</c:v>
                </c:pt>
                <c:pt idx="4">
                  <c:v>8.8800000000000008</c:v>
                </c:pt>
                <c:pt idx="5">
                  <c:v>9.16</c:v>
                </c:pt>
                <c:pt idx="6">
                  <c:v>10.28</c:v>
                </c:pt>
                <c:pt idx="7">
                  <c:v>9.81</c:v>
                </c:pt>
              </c:numCache>
            </c:numRef>
          </c:val>
          <c:smooth val="0"/>
          <c:extLst>
            <c:ext xmlns:c16="http://schemas.microsoft.com/office/drawing/2014/chart" uri="{C3380CC4-5D6E-409C-BE32-E72D297353CC}">
              <c16:uniqueId val="{0000000D-56F7-4E2C-8611-4EB6477B0D44}"/>
            </c:ext>
          </c:extLst>
        </c:ser>
        <c:ser>
          <c:idx val="14"/>
          <c:order val="14"/>
          <c:tx>
            <c:strRef>
              <c:f>万得!$B$59</c:f>
              <c:strCache>
                <c:ptCount val="1"/>
                <c:pt idx="0">
                  <c:v>平安银行</c:v>
                </c:pt>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万得!$C$59:$J$59</c:f>
              <c:numCache>
                <c:formatCode>#,##0.00_ </c:formatCode>
                <c:ptCount val="8"/>
                <c:pt idx="0">
                  <c:v>8.56</c:v>
                </c:pt>
                <c:pt idx="1">
                  <c:v>8.64</c:v>
                </c:pt>
                <c:pt idx="2">
                  <c:v>9.0299999999999994</c:v>
                </c:pt>
                <c:pt idx="3">
                  <c:v>9.34</c:v>
                </c:pt>
                <c:pt idx="4">
                  <c:v>9.18</c:v>
                </c:pt>
                <c:pt idx="5">
                  <c:v>9.39</c:v>
                </c:pt>
                <c:pt idx="6">
                  <c:v>10.54</c:v>
                </c:pt>
                <c:pt idx="7">
                  <c:v>10.91</c:v>
                </c:pt>
              </c:numCache>
            </c:numRef>
          </c:val>
          <c:smooth val="0"/>
          <c:extLst>
            <c:ext xmlns:c16="http://schemas.microsoft.com/office/drawing/2014/chart" uri="{C3380CC4-5D6E-409C-BE32-E72D297353CC}">
              <c16:uniqueId val="{0000000E-56F7-4E2C-8611-4EB6477B0D44}"/>
            </c:ext>
          </c:extLst>
        </c:ser>
        <c:dLbls>
          <c:showLegendKey val="0"/>
          <c:showVal val="0"/>
          <c:showCatName val="0"/>
          <c:showSerName val="0"/>
          <c:showPercent val="0"/>
          <c:showBubbleSize val="0"/>
        </c:dLbls>
        <c:marker val="1"/>
        <c:smooth val="0"/>
        <c:axId val="1687523296"/>
        <c:axId val="1585260800"/>
      </c:lineChart>
      <c:catAx>
        <c:axId val="168752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5260800"/>
        <c:crosses val="autoZero"/>
        <c:auto val="1"/>
        <c:lblAlgn val="ctr"/>
        <c:lblOffset val="100"/>
        <c:noMultiLvlLbl val="0"/>
      </c:catAx>
      <c:valAx>
        <c:axId val="1585260800"/>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baseline="0">
                    <a:effectLst/>
                  </a:rPr>
                  <a:t>一级资本充足率（</a:t>
                </a:r>
                <a:r>
                  <a:rPr lang="en-US" altLang="zh-CN" sz="1000" b="0" i="0" baseline="0">
                    <a:effectLst/>
                  </a:rPr>
                  <a:t>%</a:t>
                </a:r>
                <a:r>
                  <a:rPr lang="zh-CN" altLang="zh-CN" sz="1000" b="0" i="0" baseline="0">
                    <a:effectLst/>
                  </a:rPr>
                  <a:t>）</a:t>
                </a:r>
                <a:endParaRPr lang="zh-CN" altLang="zh-CN" sz="1000">
                  <a:effectLst/>
                </a:endParaRPr>
              </a:p>
            </c:rich>
          </c:tx>
          <c:layout>
            <c:manualLayout>
              <c:xMode val="edge"/>
              <c:yMode val="edge"/>
              <c:x val="3.0555555555555555E-2"/>
              <c:y val="7.962962962962962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out"/>
        <c:minorTickMark val="out"/>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752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招行兴业个人住房贷款不良率对比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Sheet1!$A$64</c:f>
              <c:strCache>
                <c:ptCount val="1"/>
                <c:pt idx="0">
                  <c:v>招行个人住房贷款不良率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Sheet1!$G$64:$K$64</c:f>
              <c:numCache>
                <c:formatCode>0.00%</c:formatCode>
                <c:ptCount val="5"/>
                <c:pt idx="0">
                  <c:v>4.1999999999999997E-3</c:v>
                </c:pt>
                <c:pt idx="1">
                  <c:v>3.3E-3</c:v>
                </c:pt>
                <c:pt idx="2">
                  <c:v>2.8000000000000004E-3</c:v>
                </c:pt>
                <c:pt idx="3">
                  <c:v>2.5000000000000001E-3</c:v>
                </c:pt>
                <c:pt idx="4">
                  <c:v>2.8999999999999998E-3</c:v>
                </c:pt>
              </c:numCache>
            </c:numRef>
          </c:val>
          <c:smooth val="0"/>
          <c:extLst>
            <c:ext xmlns:c16="http://schemas.microsoft.com/office/drawing/2014/chart" uri="{C3380CC4-5D6E-409C-BE32-E72D297353CC}">
              <c16:uniqueId val="{00000000-6709-4140-820D-0DAAAF824F22}"/>
            </c:ext>
          </c:extLst>
        </c:ser>
        <c:ser>
          <c:idx val="1"/>
          <c:order val="1"/>
          <c:tx>
            <c:strRef>
              <c:f>Sheet1!$A$65</c:f>
              <c:strCache>
                <c:ptCount val="1"/>
                <c:pt idx="0">
                  <c:v>兴业个人住房贷款不良率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Sheet1!$G$65:$K$65</c:f>
              <c:numCache>
                <c:formatCode>0.00%</c:formatCode>
                <c:ptCount val="5"/>
                <c:pt idx="0">
                  <c:v>3.4000000000000002E-3</c:v>
                </c:pt>
                <c:pt idx="1">
                  <c:v>3.0000000000000001E-3</c:v>
                </c:pt>
                <c:pt idx="2">
                  <c:v>3.0999999999999999E-3</c:v>
                </c:pt>
                <c:pt idx="3">
                  <c:v>3.3E-3</c:v>
                </c:pt>
                <c:pt idx="4">
                  <c:v>5.3E-3</c:v>
                </c:pt>
              </c:numCache>
            </c:numRef>
          </c:val>
          <c:smooth val="0"/>
          <c:extLst>
            <c:ext xmlns:c16="http://schemas.microsoft.com/office/drawing/2014/chart" uri="{C3380CC4-5D6E-409C-BE32-E72D297353CC}">
              <c16:uniqueId val="{00000001-6709-4140-820D-0DAAAF824F22}"/>
            </c:ext>
          </c:extLst>
        </c:ser>
        <c:dLbls>
          <c:showLegendKey val="0"/>
          <c:showVal val="0"/>
          <c:showCatName val="0"/>
          <c:showSerName val="0"/>
          <c:showPercent val="0"/>
          <c:showBubbleSize val="0"/>
        </c:dLbls>
        <c:marker val="1"/>
        <c:smooth val="0"/>
        <c:axId val="1770484623"/>
        <c:axId val="1767104239"/>
      </c:lineChart>
      <c:catAx>
        <c:axId val="1770484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04239"/>
        <c:crosses val="autoZero"/>
        <c:auto val="1"/>
        <c:lblAlgn val="ctr"/>
        <c:lblOffset val="100"/>
        <c:noMultiLvlLbl val="0"/>
      </c:catAx>
      <c:valAx>
        <c:axId val="1767104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信用卡不良率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0484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招行兴业贷款广义不良率对比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Sheet1!$A$55</c:f>
              <c:strCache>
                <c:ptCount val="1"/>
                <c:pt idx="0">
                  <c:v>招行贷款广义不良率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Sheet1!$G$55:$K$55</c:f>
              <c:numCache>
                <c:formatCode>0.00%</c:formatCode>
                <c:ptCount val="5"/>
                <c:pt idx="0">
                  <c:v>3.9599999999999996E-2</c:v>
                </c:pt>
                <c:pt idx="1">
                  <c:v>3.2100000000000004E-2</c:v>
                </c:pt>
                <c:pt idx="2">
                  <c:v>2.8700000000000003E-2</c:v>
                </c:pt>
                <c:pt idx="3">
                  <c:v>2.3299999999999998E-2</c:v>
                </c:pt>
                <c:pt idx="4">
                  <c:v>1.8800000000000004E-2</c:v>
                </c:pt>
              </c:numCache>
            </c:numRef>
          </c:val>
          <c:smooth val="0"/>
          <c:extLst>
            <c:ext xmlns:c16="http://schemas.microsoft.com/office/drawing/2014/chart" uri="{C3380CC4-5D6E-409C-BE32-E72D297353CC}">
              <c16:uniqueId val="{00000000-26C2-4F06-8C13-CFBD99BD183E}"/>
            </c:ext>
          </c:extLst>
        </c:ser>
        <c:ser>
          <c:idx val="1"/>
          <c:order val="1"/>
          <c:tx>
            <c:strRef>
              <c:f>Sheet1!$A$60</c:f>
              <c:strCache>
                <c:ptCount val="1"/>
                <c:pt idx="0">
                  <c:v>兴业贷款广义不良率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Sheet1!$G$60:$K$60</c:f>
              <c:numCache>
                <c:formatCode>0.00%</c:formatCode>
                <c:ptCount val="5"/>
                <c:pt idx="0">
                  <c:v>4.24E-2</c:v>
                </c:pt>
                <c:pt idx="1">
                  <c:v>3.9E-2</c:v>
                </c:pt>
                <c:pt idx="2">
                  <c:v>3.6199999999999996E-2</c:v>
                </c:pt>
                <c:pt idx="3">
                  <c:v>3.32E-2</c:v>
                </c:pt>
                <c:pt idx="4">
                  <c:v>2.6200000000000001E-2</c:v>
                </c:pt>
              </c:numCache>
            </c:numRef>
          </c:val>
          <c:smooth val="0"/>
          <c:extLst>
            <c:ext xmlns:c16="http://schemas.microsoft.com/office/drawing/2014/chart" uri="{C3380CC4-5D6E-409C-BE32-E72D297353CC}">
              <c16:uniqueId val="{00000001-26C2-4F06-8C13-CFBD99BD183E}"/>
            </c:ext>
          </c:extLst>
        </c:ser>
        <c:dLbls>
          <c:showLegendKey val="0"/>
          <c:showVal val="0"/>
          <c:showCatName val="0"/>
          <c:showSerName val="0"/>
          <c:showPercent val="0"/>
          <c:showBubbleSize val="0"/>
        </c:dLbls>
        <c:marker val="1"/>
        <c:smooth val="0"/>
        <c:axId val="1764410047"/>
        <c:axId val="1767610895"/>
      </c:lineChart>
      <c:catAx>
        <c:axId val="1764410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610895"/>
        <c:crosses val="autoZero"/>
        <c:auto val="1"/>
        <c:lblAlgn val="ctr"/>
        <c:lblOffset val="100"/>
        <c:noMultiLvlLbl val="0"/>
      </c:catAx>
      <c:valAx>
        <c:axId val="1767610895"/>
        <c:scaling>
          <c:orientation val="minMax"/>
          <c:min val="4.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不良率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0"/>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441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招行兴业新生成不良率对比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Sheet1!$A$71</c:f>
              <c:strCache>
                <c:ptCount val="1"/>
                <c:pt idx="0">
                  <c:v>招行新生成不良率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Sheet1!$G$71:$K$71</c:f>
              <c:numCache>
                <c:formatCode>0.00%</c:formatCode>
                <c:ptCount val="5"/>
                <c:pt idx="0">
                  <c:v>1.9293732280992529E-2</c:v>
                </c:pt>
                <c:pt idx="1">
                  <c:v>1.0248681362698468E-2</c:v>
                </c:pt>
                <c:pt idx="2">
                  <c:v>8.9696656576068248E-3</c:v>
                </c:pt>
                <c:pt idx="3">
                  <c:v>9.8460133833632099E-3</c:v>
                </c:pt>
                <c:pt idx="4">
                  <c:v>1.1163565532633092E-2</c:v>
                </c:pt>
              </c:numCache>
            </c:numRef>
          </c:val>
          <c:smooth val="0"/>
          <c:extLst>
            <c:ext xmlns:c16="http://schemas.microsoft.com/office/drawing/2014/chart" uri="{C3380CC4-5D6E-409C-BE32-E72D297353CC}">
              <c16:uniqueId val="{00000000-CF47-4D59-A086-88CCB8AC10E1}"/>
            </c:ext>
          </c:extLst>
        </c:ser>
        <c:ser>
          <c:idx val="1"/>
          <c:order val="1"/>
          <c:tx>
            <c:strRef>
              <c:f>Sheet1!$A$72</c:f>
              <c:strCache>
                <c:ptCount val="1"/>
                <c:pt idx="0">
                  <c:v>兴业新生成不良率下界</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Sheet1!$G$72:$K$72</c:f>
              <c:numCache>
                <c:formatCode>0.00%</c:formatCode>
                <c:ptCount val="5"/>
                <c:pt idx="0">
                  <c:v>1.4406095929732179E-2</c:v>
                </c:pt>
                <c:pt idx="1">
                  <c:v>1.6770512137475085E-2</c:v>
                </c:pt>
                <c:pt idx="2">
                  <c:v>1.238308949783953E-2</c:v>
                </c:pt>
                <c:pt idx="3">
                  <c:v>1.0164317318479908E-2</c:v>
                </c:pt>
                <c:pt idx="4">
                  <c:v>1.228063628023887E-2</c:v>
                </c:pt>
              </c:numCache>
            </c:numRef>
          </c:val>
          <c:smooth val="0"/>
          <c:extLst>
            <c:ext xmlns:c16="http://schemas.microsoft.com/office/drawing/2014/chart" uri="{C3380CC4-5D6E-409C-BE32-E72D297353CC}">
              <c16:uniqueId val="{00000001-CF47-4D59-A086-88CCB8AC10E1}"/>
            </c:ext>
          </c:extLst>
        </c:ser>
        <c:dLbls>
          <c:showLegendKey val="0"/>
          <c:showVal val="0"/>
          <c:showCatName val="0"/>
          <c:showSerName val="0"/>
          <c:showPercent val="0"/>
          <c:showBubbleSize val="0"/>
        </c:dLbls>
        <c:marker val="1"/>
        <c:smooth val="0"/>
        <c:axId val="1882874415"/>
        <c:axId val="1563925343"/>
      </c:lineChart>
      <c:catAx>
        <c:axId val="18828744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3925343"/>
        <c:crosses val="autoZero"/>
        <c:auto val="1"/>
        <c:lblAlgn val="ctr"/>
        <c:lblOffset val="100"/>
        <c:noMultiLvlLbl val="0"/>
      </c:catAx>
      <c:valAx>
        <c:axId val="156392534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2874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招行兴业拨备覆盖率对比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Sheet1!$A$74</c:f>
              <c:strCache>
                <c:ptCount val="1"/>
                <c:pt idx="0">
                  <c:v>招行拨备覆盖率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Sheet1!$G$74:$K$74</c:f>
              <c:numCache>
                <c:formatCode>0.00%</c:formatCode>
                <c:ptCount val="5"/>
                <c:pt idx="0">
                  <c:v>1.8002</c:v>
                </c:pt>
                <c:pt idx="1">
                  <c:v>2.6211000000000002</c:v>
                </c:pt>
                <c:pt idx="2">
                  <c:v>3.5817999999999999</c:v>
                </c:pt>
                <c:pt idx="3">
                  <c:v>4.2678000000000003</c:v>
                </c:pt>
                <c:pt idx="4">
                  <c:v>4.3768000000000002</c:v>
                </c:pt>
              </c:numCache>
            </c:numRef>
          </c:val>
          <c:smooth val="0"/>
          <c:extLst>
            <c:ext xmlns:c16="http://schemas.microsoft.com/office/drawing/2014/chart" uri="{C3380CC4-5D6E-409C-BE32-E72D297353CC}">
              <c16:uniqueId val="{00000000-C446-474D-9391-318E8915A06F}"/>
            </c:ext>
          </c:extLst>
        </c:ser>
        <c:ser>
          <c:idx val="1"/>
          <c:order val="1"/>
          <c:tx>
            <c:strRef>
              <c:f>Sheet1!$A$76</c:f>
              <c:strCache>
                <c:ptCount val="1"/>
                <c:pt idx="0">
                  <c:v>兴业拨备覆盖率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Sheet1!$G$76:$K$76</c:f>
              <c:numCache>
                <c:formatCode>0.00%</c:formatCode>
                <c:ptCount val="5"/>
                <c:pt idx="0">
                  <c:v>2.1051000000000002</c:v>
                </c:pt>
                <c:pt idx="1">
                  <c:v>2.1177999999999999</c:v>
                </c:pt>
                <c:pt idx="2">
                  <c:v>2.0728</c:v>
                </c:pt>
                <c:pt idx="3">
                  <c:v>1.9913000000000001</c:v>
                </c:pt>
                <c:pt idx="4">
                  <c:v>2.1882999999999999</c:v>
                </c:pt>
              </c:numCache>
            </c:numRef>
          </c:val>
          <c:smooth val="0"/>
          <c:extLst>
            <c:ext xmlns:c16="http://schemas.microsoft.com/office/drawing/2014/chart" uri="{C3380CC4-5D6E-409C-BE32-E72D297353CC}">
              <c16:uniqueId val="{00000001-C446-474D-9391-318E8915A06F}"/>
            </c:ext>
          </c:extLst>
        </c:ser>
        <c:dLbls>
          <c:showLegendKey val="0"/>
          <c:showVal val="0"/>
          <c:showCatName val="0"/>
          <c:showSerName val="0"/>
          <c:showPercent val="0"/>
          <c:showBubbleSize val="0"/>
        </c:dLbls>
        <c:marker val="1"/>
        <c:smooth val="0"/>
        <c:axId val="1770484623"/>
        <c:axId val="1767104239"/>
      </c:lineChart>
      <c:catAx>
        <c:axId val="1770484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04239"/>
        <c:crosses val="autoZero"/>
        <c:auto val="1"/>
        <c:lblAlgn val="ctr"/>
        <c:lblOffset val="100"/>
        <c:noMultiLvlLbl val="0"/>
      </c:catAx>
      <c:valAx>
        <c:axId val="1767104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拨备覆盖率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0484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招行兴业拨备比对比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Sheet1!$A$75</c:f>
              <c:strCache>
                <c:ptCount val="1"/>
                <c:pt idx="0">
                  <c:v>招行拨备比</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Sheet1!$G$75:$K$75</c:f>
              <c:numCache>
                <c:formatCode>0.00%</c:formatCode>
                <c:ptCount val="5"/>
                <c:pt idx="0">
                  <c:v>3.3700000000000001E-2</c:v>
                </c:pt>
                <c:pt idx="1">
                  <c:v>4.2200000000000001E-2</c:v>
                </c:pt>
                <c:pt idx="2">
                  <c:v>4.8800000000000003E-2</c:v>
                </c:pt>
                <c:pt idx="3">
                  <c:v>4.9700000000000001E-2</c:v>
                </c:pt>
                <c:pt idx="4">
                  <c:v>4.6699999999999998E-2</c:v>
                </c:pt>
              </c:numCache>
            </c:numRef>
          </c:val>
          <c:smooth val="0"/>
          <c:extLst>
            <c:ext xmlns:c16="http://schemas.microsoft.com/office/drawing/2014/chart" uri="{C3380CC4-5D6E-409C-BE32-E72D297353CC}">
              <c16:uniqueId val="{00000000-2813-4868-A40D-BF8B906D87BA}"/>
            </c:ext>
          </c:extLst>
        </c:ser>
        <c:ser>
          <c:idx val="1"/>
          <c:order val="1"/>
          <c:tx>
            <c:strRef>
              <c:f>Sheet1!$A$77</c:f>
              <c:strCache>
                <c:ptCount val="1"/>
                <c:pt idx="0">
                  <c:v>兴业拨备比</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Sheet1!$G$77:$K$77</c:f>
              <c:numCache>
                <c:formatCode>0.00%</c:formatCode>
                <c:ptCount val="5"/>
                <c:pt idx="0">
                  <c:v>3.4799999999999998E-2</c:v>
                </c:pt>
                <c:pt idx="1">
                  <c:v>3.3700000000000001E-2</c:v>
                </c:pt>
                <c:pt idx="2">
                  <c:v>3.2599999999999997E-2</c:v>
                </c:pt>
                <c:pt idx="3">
                  <c:v>3.0700000000000002E-2</c:v>
                </c:pt>
                <c:pt idx="4">
                  <c:v>2.7400000000000001E-2</c:v>
                </c:pt>
              </c:numCache>
            </c:numRef>
          </c:val>
          <c:smooth val="0"/>
          <c:extLst>
            <c:ext xmlns:c16="http://schemas.microsoft.com/office/drawing/2014/chart" uri="{C3380CC4-5D6E-409C-BE32-E72D297353CC}">
              <c16:uniqueId val="{00000001-2813-4868-A40D-BF8B906D87BA}"/>
            </c:ext>
          </c:extLst>
        </c:ser>
        <c:dLbls>
          <c:showLegendKey val="0"/>
          <c:showVal val="0"/>
          <c:showCatName val="0"/>
          <c:showSerName val="0"/>
          <c:showPercent val="0"/>
          <c:showBubbleSize val="0"/>
        </c:dLbls>
        <c:marker val="1"/>
        <c:smooth val="0"/>
        <c:axId val="1770484623"/>
        <c:axId val="1767104239"/>
      </c:lineChart>
      <c:catAx>
        <c:axId val="1770484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04239"/>
        <c:crosses val="autoZero"/>
        <c:auto val="1"/>
        <c:lblAlgn val="ctr"/>
        <c:lblOffset val="100"/>
        <c:noMultiLvlLbl val="0"/>
      </c:catAx>
      <c:valAx>
        <c:axId val="1767104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拨备比</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0484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招行兴业风险加权资产减值准备率对比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Sheet1!$A$80</c:f>
              <c:strCache>
                <c:ptCount val="1"/>
                <c:pt idx="0">
                  <c:v>招行风险加权资产减值准备率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Sheet1!$G$80:$K$80</c:f>
              <c:numCache>
                <c:formatCode>0.00%</c:formatCode>
                <c:ptCount val="5"/>
                <c:pt idx="0">
                  <c:v>2.8558273339468979E-2</c:v>
                </c:pt>
                <c:pt idx="1">
                  <c:v>3.8461007453814422E-2</c:v>
                </c:pt>
                <c:pt idx="2">
                  <c:v>4.4790189455502928E-2</c:v>
                </c:pt>
                <c:pt idx="3">
                  <c:v>4.3148051445701573E-2</c:v>
                </c:pt>
                <c:pt idx="4">
                  <c:v>4.1093107766965807E-2</c:v>
                </c:pt>
              </c:numCache>
            </c:numRef>
          </c:val>
          <c:smooth val="0"/>
          <c:extLst>
            <c:ext xmlns:c16="http://schemas.microsoft.com/office/drawing/2014/chart" uri="{C3380CC4-5D6E-409C-BE32-E72D297353CC}">
              <c16:uniqueId val="{00000000-76F8-4E87-A852-077026579719}"/>
            </c:ext>
          </c:extLst>
        </c:ser>
        <c:ser>
          <c:idx val="1"/>
          <c:order val="1"/>
          <c:tx>
            <c:strRef>
              <c:f>Sheet1!$A$83</c:f>
              <c:strCache>
                <c:ptCount val="1"/>
                <c:pt idx="0">
                  <c:v>兴业风险加权资产减值准备率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Sheet1!$G$83:$K$83</c:f>
              <c:numCache>
                <c:formatCode>0.00%</c:formatCode>
                <c:ptCount val="5"/>
                <c:pt idx="0">
                  <c:v>1.9052227423341925E-2</c:v>
                </c:pt>
                <c:pt idx="1">
                  <c:v>1.8962013664675977E-2</c:v>
                </c:pt>
                <c:pt idx="2">
                  <c:v>2.0200810465716791E-2</c:v>
                </c:pt>
                <c:pt idx="3">
                  <c:v>2.060775717195076E-2</c:v>
                </c:pt>
                <c:pt idx="4">
                  <c:v>1.9185325074032145E-2</c:v>
                </c:pt>
              </c:numCache>
            </c:numRef>
          </c:val>
          <c:smooth val="0"/>
          <c:extLst>
            <c:ext xmlns:c16="http://schemas.microsoft.com/office/drawing/2014/chart" uri="{C3380CC4-5D6E-409C-BE32-E72D297353CC}">
              <c16:uniqueId val="{00000001-76F8-4E87-A852-077026579719}"/>
            </c:ext>
          </c:extLst>
        </c:ser>
        <c:dLbls>
          <c:showLegendKey val="0"/>
          <c:showVal val="0"/>
          <c:showCatName val="0"/>
          <c:showSerName val="0"/>
          <c:showPercent val="0"/>
          <c:showBubbleSize val="0"/>
        </c:dLbls>
        <c:marker val="1"/>
        <c:smooth val="0"/>
        <c:axId val="1770484623"/>
        <c:axId val="1767104239"/>
      </c:lineChart>
      <c:catAx>
        <c:axId val="1770484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04239"/>
        <c:crosses val="autoZero"/>
        <c:auto val="1"/>
        <c:lblAlgn val="ctr"/>
        <c:lblOffset val="100"/>
        <c:noMultiLvlLbl val="0"/>
      </c:catAx>
      <c:valAx>
        <c:axId val="1767104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风险加权资产减值准备率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0484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招行兴业计息负债平均成本率对比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Sheet1!$A$13</c:f>
              <c:strCache>
                <c:ptCount val="1"/>
                <c:pt idx="0">
                  <c:v>招行计息负债平均成本率（%）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Sheet1!$D$1:$K$1</c:f>
              <c:numCache>
                <c:formatCode>General</c:formatCode>
                <c:ptCount val="8"/>
                <c:pt idx="0">
                  <c:v>2013</c:v>
                </c:pt>
                <c:pt idx="1">
                  <c:v>2014</c:v>
                </c:pt>
                <c:pt idx="2">
                  <c:v>2015</c:v>
                </c:pt>
                <c:pt idx="3">
                  <c:v>2016</c:v>
                </c:pt>
                <c:pt idx="4">
                  <c:v>2017</c:v>
                </c:pt>
                <c:pt idx="5">
                  <c:v>2018</c:v>
                </c:pt>
                <c:pt idx="6">
                  <c:v>2019</c:v>
                </c:pt>
                <c:pt idx="7">
                  <c:v>2020</c:v>
                </c:pt>
              </c:numCache>
            </c:numRef>
          </c:cat>
          <c:val>
            <c:numRef>
              <c:f>Sheet1!$D$13:$K$13</c:f>
              <c:numCache>
                <c:formatCode>General</c:formatCode>
                <c:ptCount val="8"/>
                <c:pt idx="0">
                  <c:v>2.2999999999999998</c:v>
                </c:pt>
                <c:pt idx="1">
                  <c:v>2.69</c:v>
                </c:pt>
                <c:pt idx="2">
                  <c:v>2.13</c:v>
                </c:pt>
                <c:pt idx="3">
                  <c:v>1.63</c:v>
                </c:pt>
                <c:pt idx="4">
                  <c:v>1.77</c:v>
                </c:pt>
                <c:pt idx="5">
                  <c:v>1.9</c:v>
                </c:pt>
                <c:pt idx="6">
                  <c:v>1.9</c:v>
                </c:pt>
                <c:pt idx="7">
                  <c:v>1.73</c:v>
                </c:pt>
              </c:numCache>
            </c:numRef>
          </c:val>
          <c:smooth val="0"/>
          <c:extLst>
            <c:ext xmlns:c16="http://schemas.microsoft.com/office/drawing/2014/chart" uri="{C3380CC4-5D6E-409C-BE32-E72D297353CC}">
              <c16:uniqueId val="{00000000-9958-492E-8331-326CB6841A6F}"/>
            </c:ext>
          </c:extLst>
        </c:ser>
        <c:ser>
          <c:idx val="1"/>
          <c:order val="1"/>
          <c:tx>
            <c:strRef>
              <c:f>Sheet1!$A$14</c:f>
              <c:strCache>
                <c:ptCount val="1"/>
                <c:pt idx="0">
                  <c:v>兴业计息负债平均成本率（%）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Sheet1!$D$1:$K$1</c:f>
              <c:numCache>
                <c:formatCode>General</c:formatCode>
                <c:ptCount val="8"/>
                <c:pt idx="0">
                  <c:v>2013</c:v>
                </c:pt>
                <c:pt idx="1">
                  <c:v>2014</c:v>
                </c:pt>
                <c:pt idx="2">
                  <c:v>2015</c:v>
                </c:pt>
                <c:pt idx="3">
                  <c:v>2016</c:v>
                </c:pt>
                <c:pt idx="4">
                  <c:v>2017</c:v>
                </c:pt>
                <c:pt idx="5">
                  <c:v>2018</c:v>
                </c:pt>
                <c:pt idx="6">
                  <c:v>2019</c:v>
                </c:pt>
                <c:pt idx="7">
                  <c:v>2020</c:v>
                </c:pt>
              </c:numCache>
            </c:numRef>
          </c:cat>
          <c:val>
            <c:numRef>
              <c:f>Sheet1!$D$14:$K$14</c:f>
              <c:numCache>
                <c:formatCode>General</c:formatCode>
                <c:ptCount val="8"/>
                <c:pt idx="0">
                  <c:v>3.16</c:v>
                </c:pt>
                <c:pt idx="1">
                  <c:v>3.45</c:v>
                </c:pt>
                <c:pt idx="2">
                  <c:v>2.97</c:v>
                </c:pt>
                <c:pt idx="3">
                  <c:v>2.4</c:v>
                </c:pt>
                <c:pt idx="4">
                  <c:v>2.81</c:v>
                </c:pt>
                <c:pt idx="5">
                  <c:v>2.9</c:v>
                </c:pt>
                <c:pt idx="6">
                  <c:v>2.66</c:v>
                </c:pt>
                <c:pt idx="7">
                  <c:v>2.36</c:v>
                </c:pt>
              </c:numCache>
            </c:numRef>
          </c:val>
          <c:smooth val="0"/>
          <c:extLst>
            <c:ext xmlns:c16="http://schemas.microsoft.com/office/drawing/2014/chart" uri="{C3380CC4-5D6E-409C-BE32-E72D297353CC}">
              <c16:uniqueId val="{00000001-9958-492E-8331-326CB6841A6F}"/>
            </c:ext>
          </c:extLst>
        </c:ser>
        <c:dLbls>
          <c:showLegendKey val="0"/>
          <c:showVal val="0"/>
          <c:showCatName val="0"/>
          <c:showSerName val="0"/>
          <c:showPercent val="0"/>
          <c:showBubbleSize val="0"/>
        </c:dLbls>
        <c:marker val="1"/>
        <c:smooth val="0"/>
        <c:axId val="1190856047"/>
        <c:axId val="989048479"/>
      </c:lineChart>
      <c:catAx>
        <c:axId val="1190856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9048479"/>
        <c:crosses val="autoZero"/>
        <c:auto val="1"/>
        <c:lblAlgn val="ctr"/>
        <c:lblOffset val="100"/>
        <c:noMultiLvlLbl val="0"/>
      </c:catAx>
      <c:valAx>
        <c:axId val="9890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计息负债平均成本率</a:t>
                </a:r>
                <a:r>
                  <a:rPr lang="zh-CN" altLang="en-US"/>
                  <a:t>（</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856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招商银行计息负债结构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1"/>
          <c:order val="0"/>
          <c:tx>
            <c:strRef>
              <c:f>Sheet1!$A$87</c:f>
              <c:strCache>
                <c:ptCount val="1"/>
                <c:pt idx="0">
                  <c:v>招行存款</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(Sheet1!$D$87,Sheet1!$G$87,Sheet1!$J$87,Sheet1!$M$87,Sheet1!$P$87)</c:f>
              <c:numCache>
                <c:formatCode>0.00%</c:formatCode>
                <c:ptCount val="5"/>
                <c:pt idx="0">
                  <c:v>0.72797694094677345</c:v>
                </c:pt>
                <c:pt idx="1">
                  <c:v>0.72211499502408738</c:v>
                </c:pt>
                <c:pt idx="2">
                  <c:v>0.7334931851385581</c:v>
                </c:pt>
                <c:pt idx="3">
                  <c:v>0.73776400071088055</c:v>
                </c:pt>
                <c:pt idx="4">
                  <c:v>0.76213576200010635</c:v>
                </c:pt>
              </c:numCache>
            </c:numRef>
          </c:val>
          <c:extLst>
            <c:ext xmlns:c16="http://schemas.microsoft.com/office/drawing/2014/chart" uri="{C3380CC4-5D6E-409C-BE32-E72D297353CC}">
              <c16:uniqueId val="{00000000-F96D-4F7C-9281-4CCD7A0A3CF7}"/>
            </c:ext>
          </c:extLst>
        </c:ser>
        <c:ser>
          <c:idx val="2"/>
          <c:order val="1"/>
          <c:tx>
            <c:strRef>
              <c:f>Sheet1!$A$88</c:f>
              <c:strCache>
                <c:ptCount val="1"/>
                <c:pt idx="0">
                  <c:v>招行同业和其他金融机构存放</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(Sheet1!$D$88,Sheet1!$G$88,Sheet1!$J$88,Sheet1!$M$88,Sheet1!$P$88)</c:f>
              <c:numCache>
                <c:formatCode>0.00%</c:formatCode>
                <c:ptCount val="5"/>
                <c:pt idx="0">
                  <c:v>0.17571325973995416</c:v>
                </c:pt>
                <c:pt idx="1">
                  <c:v>0.1603922821911497</c:v>
                </c:pt>
                <c:pt idx="2">
                  <c:v>0.14826824729487728</c:v>
                </c:pt>
                <c:pt idx="3">
                  <c:v>0.13417201749580721</c:v>
                </c:pt>
                <c:pt idx="4">
                  <c:v>0.13341346988677641</c:v>
                </c:pt>
              </c:numCache>
            </c:numRef>
          </c:val>
          <c:extLst>
            <c:ext xmlns:c16="http://schemas.microsoft.com/office/drawing/2014/chart" uri="{C3380CC4-5D6E-409C-BE32-E72D297353CC}">
              <c16:uniqueId val="{00000001-F96D-4F7C-9281-4CCD7A0A3CF7}"/>
            </c:ext>
          </c:extLst>
        </c:ser>
        <c:ser>
          <c:idx val="3"/>
          <c:order val="2"/>
          <c:tx>
            <c:strRef>
              <c:f>Sheet1!$A$89</c:f>
              <c:strCache>
                <c:ptCount val="1"/>
                <c:pt idx="0">
                  <c:v>招行应付债券</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(Sheet1!$D$89,Sheet1!$G$89,Sheet1!$J$89,Sheet1!$M$89,Sheet1!$P$89)</c:f>
              <c:numCache>
                <c:formatCode>0.00%</c:formatCode>
                <c:ptCount val="5"/>
                <c:pt idx="0">
                  <c:v>6.0622125436696303E-2</c:v>
                </c:pt>
                <c:pt idx="1">
                  <c:v>6.1790545492952223E-2</c:v>
                </c:pt>
                <c:pt idx="2">
                  <c:v>5.843707608977998E-2</c:v>
                </c:pt>
                <c:pt idx="3">
                  <c:v>8.0227195380613042E-2</c:v>
                </c:pt>
                <c:pt idx="4">
                  <c:v>6.4338643088753839E-2</c:v>
                </c:pt>
              </c:numCache>
            </c:numRef>
          </c:val>
          <c:extLst>
            <c:ext xmlns:c16="http://schemas.microsoft.com/office/drawing/2014/chart" uri="{C3380CC4-5D6E-409C-BE32-E72D297353CC}">
              <c16:uniqueId val="{00000002-F96D-4F7C-9281-4CCD7A0A3CF7}"/>
            </c:ext>
          </c:extLst>
        </c:ser>
        <c:ser>
          <c:idx val="0"/>
          <c:order val="3"/>
          <c:tx>
            <c:strRef>
              <c:f>Sheet1!$A$90</c:f>
              <c:strCache>
                <c:ptCount val="1"/>
                <c:pt idx="0">
                  <c:v>招行向央行借款</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(Sheet1!$D$90,Sheet1!$G$90,Sheet1!$J$90,Sheet1!$M$90,Sheet1!$P$90)</c:f>
              <c:numCache>
                <c:formatCode>0.00%</c:formatCode>
                <c:ptCount val="5"/>
                <c:pt idx="0">
                  <c:v>3.5687673876576058E-2</c:v>
                </c:pt>
                <c:pt idx="1">
                  <c:v>5.5702177291810637E-2</c:v>
                </c:pt>
                <c:pt idx="2">
                  <c:v>5.9801491476784659E-2</c:v>
                </c:pt>
                <c:pt idx="3">
                  <c:v>4.7836786412699242E-2</c:v>
                </c:pt>
                <c:pt idx="4">
                  <c:v>4.0112125024363454E-2</c:v>
                </c:pt>
              </c:numCache>
            </c:numRef>
          </c:val>
          <c:extLst>
            <c:ext xmlns:c16="http://schemas.microsoft.com/office/drawing/2014/chart" uri="{C3380CC4-5D6E-409C-BE32-E72D297353CC}">
              <c16:uniqueId val="{00000003-F96D-4F7C-9281-4CCD7A0A3CF7}"/>
            </c:ext>
          </c:extLst>
        </c:ser>
        <c:dLbls>
          <c:dLblPos val="ctr"/>
          <c:showLegendKey val="0"/>
          <c:showVal val="1"/>
          <c:showCatName val="0"/>
          <c:showSerName val="0"/>
          <c:showPercent val="0"/>
          <c:showBubbleSize val="0"/>
        </c:dLbls>
        <c:gapWidth val="150"/>
        <c:overlap val="100"/>
        <c:axId val="1148306351"/>
        <c:axId val="1070008879"/>
      </c:barChart>
      <c:catAx>
        <c:axId val="1148306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0008879"/>
        <c:crosses val="autoZero"/>
        <c:auto val="1"/>
        <c:lblAlgn val="ctr"/>
        <c:lblOffset val="100"/>
        <c:noMultiLvlLbl val="0"/>
      </c:catAx>
      <c:valAx>
        <c:axId val="10700088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8306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兴业银行计息负债结构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1"/>
          <c:order val="0"/>
          <c:tx>
            <c:strRef>
              <c:f>Sheet1!$A$92</c:f>
              <c:strCache>
                <c:ptCount val="1"/>
                <c:pt idx="0">
                  <c:v>兴业存款</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(Sheet1!$D$92,Sheet1!$G$92,Sheet1!$J$92,Sheet1!$M$92,Sheet1!$P$92)</c:f>
              <c:numCache>
                <c:formatCode>0.00%</c:formatCode>
                <c:ptCount val="5"/>
                <c:pt idx="0">
                  <c:v>0.46896169535065124</c:v>
                </c:pt>
                <c:pt idx="1">
                  <c:v>0.49711653829116259</c:v>
                </c:pt>
                <c:pt idx="2">
                  <c:v>0.53087987698333206</c:v>
                </c:pt>
                <c:pt idx="3">
                  <c:v>0.58118137674748849</c:v>
                </c:pt>
                <c:pt idx="4">
                  <c:v>0.57890748115973067</c:v>
                </c:pt>
              </c:numCache>
            </c:numRef>
          </c:val>
          <c:extLst>
            <c:ext xmlns:c16="http://schemas.microsoft.com/office/drawing/2014/chart" uri="{C3380CC4-5D6E-409C-BE32-E72D297353CC}">
              <c16:uniqueId val="{00000000-258F-4D69-A1CB-9F4FB8F7E5A0}"/>
            </c:ext>
          </c:extLst>
        </c:ser>
        <c:ser>
          <c:idx val="2"/>
          <c:order val="1"/>
          <c:tx>
            <c:strRef>
              <c:f>Sheet1!$A$93</c:f>
              <c:strCache>
                <c:ptCount val="1"/>
                <c:pt idx="0">
                  <c:v>兴业同业和其他金融机构存放</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(Sheet1!$D$93,Sheet1!$G$93,Sheet1!$J$93,Sheet1!$M$93,Sheet1!$P$93)</c:f>
              <c:numCache>
                <c:formatCode>0.00%</c:formatCode>
                <c:ptCount val="5"/>
                <c:pt idx="0">
                  <c:v>0.37367260181182599</c:v>
                </c:pt>
                <c:pt idx="1">
                  <c:v>0.34059728128062378</c:v>
                </c:pt>
                <c:pt idx="2">
                  <c:v>0.31046401245026328</c:v>
                </c:pt>
                <c:pt idx="3">
                  <c:v>0.25318277760339997</c:v>
                </c:pt>
                <c:pt idx="4">
                  <c:v>0.25897064041431339</c:v>
                </c:pt>
              </c:numCache>
            </c:numRef>
          </c:val>
          <c:extLst>
            <c:ext xmlns:c16="http://schemas.microsoft.com/office/drawing/2014/chart" uri="{C3380CC4-5D6E-409C-BE32-E72D297353CC}">
              <c16:uniqueId val="{00000001-258F-4D69-A1CB-9F4FB8F7E5A0}"/>
            </c:ext>
          </c:extLst>
        </c:ser>
        <c:ser>
          <c:idx val="3"/>
          <c:order val="2"/>
          <c:tx>
            <c:strRef>
              <c:f>Sheet1!$A$94</c:f>
              <c:strCache>
                <c:ptCount val="1"/>
                <c:pt idx="0">
                  <c:v>兴业应付债券</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(Sheet1!$D$94,Sheet1!$G$94,Sheet1!$J$94,Sheet1!$M$94,Sheet1!$P$94)</c:f>
              <c:numCache>
                <c:formatCode>0.00%</c:formatCode>
                <c:ptCount val="5"/>
                <c:pt idx="0">
                  <c:v>0.13182662271238516</c:v>
                </c:pt>
                <c:pt idx="1">
                  <c:v>0.12315521035940061</c:v>
                </c:pt>
                <c:pt idx="2">
                  <c:v>0.11506791655776226</c:v>
                </c:pt>
                <c:pt idx="3">
                  <c:v>0.13077258836140354</c:v>
                </c:pt>
                <c:pt idx="4">
                  <c:v>0.13681157548038225</c:v>
                </c:pt>
              </c:numCache>
            </c:numRef>
          </c:val>
          <c:extLst>
            <c:ext xmlns:c16="http://schemas.microsoft.com/office/drawing/2014/chart" uri="{C3380CC4-5D6E-409C-BE32-E72D297353CC}">
              <c16:uniqueId val="{00000002-258F-4D69-A1CB-9F4FB8F7E5A0}"/>
            </c:ext>
          </c:extLst>
        </c:ser>
        <c:ser>
          <c:idx val="0"/>
          <c:order val="3"/>
          <c:tx>
            <c:strRef>
              <c:f>Sheet1!$A$95</c:f>
              <c:strCache>
                <c:ptCount val="1"/>
                <c:pt idx="0">
                  <c:v>兴业向央行借款</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(Sheet1!$D$95,Sheet1!$G$95,Sheet1!$J$95,Sheet1!$M$95,Sheet1!$P$95)</c:f>
              <c:numCache>
                <c:formatCode>0.00%</c:formatCode>
                <c:ptCount val="5"/>
                <c:pt idx="0">
                  <c:v>2.55390801251376E-2</c:v>
                </c:pt>
                <c:pt idx="1">
                  <c:v>3.9130970068813019E-2</c:v>
                </c:pt>
                <c:pt idx="2">
                  <c:v>4.3588194008642486E-2</c:v>
                </c:pt>
                <c:pt idx="3">
                  <c:v>3.4863257287707984E-2</c:v>
                </c:pt>
                <c:pt idx="4">
                  <c:v>2.5310302945573737E-2</c:v>
                </c:pt>
              </c:numCache>
            </c:numRef>
          </c:val>
          <c:extLst>
            <c:ext xmlns:c16="http://schemas.microsoft.com/office/drawing/2014/chart" uri="{C3380CC4-5D6E-409C-BE32-E72D297353CC}">
              <c16:uniqueId val="{00000003-258F-4D69-A1CB-9F4FB8F7E5A0}"/>
            </c:ext>
          </c:extLst>
        </c:ser>
        <c:dLbls>
          <c:dLblPos val="ctr"/>
          <c:showLegendKey val="0"/>
          <c:showVal val="1"/>
          <c:showCatName val="0"/>
          <c:showSerName val="0"/>
          <c:showPercent val="0"/>
          <c:showBubbleSize val="0"/>
        </c:dLbls>
        <c:gapWidth val="150"/>
        <c:overlap val="100"/>
        <c:axId val="1148306351"/>
        <c:axId val="1070008879"/>
      </c:barChart>
      <c:catAx>
        <c:axId val="1148306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0008879"/>
        <c:crosses val="autoZero"/>
        <c:auto val="1"/>
        <c:lblAlgn val="ctr"/>
        <c:lblOffset val="100"/>
        <c:noMultiLvlLbl val="0"/>
      </c:catAx>
      <c:valAx>
        <c:axId val="10700088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8306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招行兴业应付债券平均成本率对比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招行应付债券平均成本率</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(Sheet1!$C$89,Sheet1!$F$89,Sheet1!$I$89,Sheet1!$L$89,Sheet1!$O$89)</c:f>
              <c:numCache>
                <c:formatCode>0.00%</c:formatCode>
                <c:ptCount val="5"/>
                <c:pt idx="0">
                  <c:v>3.2899999999999999E-2</c:v>
                </c:pt>
                <c:pt idx="1">
                  <c:v>3.9600000000000003E-2</c:v>
                </c:pt>
                <c:pt idx="2">
                  <c:v>4.2700000000000002E-2</c:v>
                </c:pt>
                <c:pt idx="3">
                  <c:v>3.5000000000000003E-2</c:v>
                </c:pt>
                <c:pt idx="4">
                  <c:v>3.2300000000000002E-2</c:v>
                </c:pt>
              </c:numCache>
            </c:numRef>
          </c:val>
          <c:smooth val="0"/>
          <c:extLst>
            <c:ext xmlns:c16="http://schemas.microsoft.com/office/drawing/2014/chart" uri="{C3380CC4-5D6E-409C-BE32-E72D297353CC}">
              <c16:uniqueId val="{00000000-32B2-4DBF-A0B0-C03EE4268BBA}"/>
            </c:ext>
          </c:extLst>
        </c:ser>
        <c:ser>
          <c:idx val="1"/>
          <c:order val="1"/>
          <c:tx>
            <c:v>兴业应付债券平均成本率</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(Sheet1!$C$94,Sheet1!$F$94,Sheet1!$I$94,Sheet1!$L$94,Sheet1!$O$94)</c:f>
              <c:numCache>
                <c:formatCode>0.00%</c:formatCode>
                <c:ptCount val="5"/>
                <c:pt idx="0">
                  <c:v>3.3099999999999997E-2</c:v>
                </c:pt>
                <c:pt idx="1">
                  <c:v>3.95E-2</c:v>
                </c:pt>
                <c:pt idx="2">
                  <c:v>3.9899999999999998E-2</c:v>
                </c:pt>
                <c:pt idx="3">
                  <c:v>3.4000000000000002E-2</c:v>
                </c:pt>
                <c:pt idx="4">
                  <c:v>2.9899999999999999E-2</c:v>
                </c:pt>
              </c:numCache>
            </c:numRef>
          </c:val>
          <c:smooth val="0"/>
          <c:extLst>
            <c:ext xmlns:c16="http://schemas.microsoft.com/office/drawing/2014/chart" uri="{C3380CC4-5D6E-409C-BE32-E72D297353CC}">
              <c16:uniqueId val="{00000001-32B2-4DBF-A0B0-C03EE4268BBA}"/>
            </c:ext>
          </c:extLst>
        </c:ser>
        <c:dLbls>
          <c:showLegendKey val="0"/>
          <c:showVal val="0"/>
          <c:showCatName val="0"/>
          <c:showSerName val="0"/>
          <c:showPercent val="0"/>
          <c:showBubbleSize val="0"/>
        </c:dLbls>
        <c:marker val="1"/>
        <c:smooth val="0"/>
        <c:axId val="184524943"/>
        <c:axId val="2039624255"/>
      </c:lineChart>
      <c:catAx>
        <c:axId val="184524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24255"/>
        <c:crosses val="autoZero"/>
        <c:auto val="1"/>
        <c:lblAlgn val="ctr"/>
        <c:lblOffset val="100"/>
        <c:noMultiLvlLbl val="0"/>
      </c:catAx>
      <c:valAx>
        <c:axId val="2039624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应付债券平均收益率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solidFill>
            <a:schemeClr val="bg1"/>
          </a:solid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524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主流上市银行资本充足率</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万得!$B$63</c:f>
              <c:strCache>
                <c:ptCount val="1"/>
                <c:pt idx="0">
                  <c:v>工商银行</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万得!$C$63:$J$63</c:f>
              <c:numCache>
                <c:formatCode>0.00_);[Red]\(0.00\)</c:formatCode>
                <c:ptCount val="8"/>
                <c:pt idx="0">
                  <c:v>13.12</c:v>
                </c:pt>
                <c:pt idx="1">
                  <c:v>14.53</c:v>
                </c:pt>
                <c:pt idx="2">
                  <c:v>15.22</c:v>
                </c:pt>
                <c:pt idx="3">
                  <c:v>14.61</c:v>
                </c:pt>
                <c:pt idx="4">
                  <c:v>15.14</c:v>
                </c:pt>
                <c:pt idx="5">
                  <c:v>15.39</c:v>
                </c:pt>
                <c:pt idx="6">
                  <c:v>16.77</c:v>
                </c:pt>
                <c:pt idx="7">
                  <c:v>16.88</c:v>
                </c:pt>
              </c:numCache>
            </c:numRef>
          </c:val>
          <c:smooth val="0"/>
          <c:extLst>
            <c:ext xmlns:c16="http://schemas.microsoft.com/office/drawing/2014/chart" uri="{C3380CC4-5D6E-409C-BE32-E72D297353CC}">
              <c16:uniqueId val="{00000000-242C-4348-9591-264793FD923E}"/>
            </c:ext>
          </c:extLst>
        </c:ser>
        <c:ser>
          <c:idx val="1"/>
          <c:order val="1"/>
          <c:tx>
            <c:strRef>
              <c:f>万得!$B$64</c:f>
              <c:strCache>
                <c:ptCount val="1"/>
                <c:pt idx="0">
                  <c:v>农业银行</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万得!$C$64:$J$64</c:f>
              <c:numCache>
                <c:formatCode>0.00_);[Red]\(0.00\)</c:formatCode>
                <c:ptCount val="8"/>
                <c:pt idx="0">
                  <c:v>11.86</c:v>
                </c:pt>
                <c:pt idx="1">
                  <c:v>12.82</c:v>
                </c:pt>
                <c:pt idx="2">
                  <c:v>13.4</c:v>
                </c:pt>
                <c:pt idx="3">
                  <c:v>13.04</c:v>
                </c:pt>
                <c:pt idx="4">
                  <c:v>13.74</c:v>
                </c:pt>
                <c:pt idx="5">
                  <c:v>15.12</c:v>
                </c:pt>
                <c:pt idx="6">
                  <c:v>16.13</c:v>
                </c:pt>
                <c:pt idx="7">
                  <c:v>16.59</c:v>
                </c:pt>
              </c:numCache>
            </c:numRef>
          </c:val>
          <c:smooth val="0"/>
          <c:extLst>
            <c:ext xmlns:c16="http://schemas.microsoft.com/office/drawing/2014/chart" uri="{C3380CC4-5D6E-409C-BE32-E72D297353CC}">
              <c16:uniqueId val="{00000001-242C-4348-9591-264793FD923E}"/>
            </c:ext>
          </c:extLst>
        </c:ser>
        <c:ser>
          <c:idx val="2"/>
          <c:order val="2"/>
          <c:tx>
            <c:strRef>
              <c:f>万得!$B$65</c:f>
              <c:strCache>
                <c:ptCount val="1"/>
                <c:pt idx="0">
                  <c:v>建设银行</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万得!$C$65:$J$65</c:f>
              <c:numCache>
                <c:formatCode>0.00_);[Red]\(0.00\)</c:formatCode>
                <c:ptCount val="8"/>
                <c:pt idx="0">
                  <c:v>13.34</c:v>
                </c:pt>
                <c:pt idx="1">
                  <c:v>14.87</c:v>
                </c:pt>
                <c:pt idx="2">
                  <c:v>15.39</c:v>
                </c:pt>
                <c:pt idx="3">
                  <c:v>14.94</c:v>
                </c:pt>
                <c:pt idx="4">
                  <c:v>15.5</c:v>
                </c:pt>
                <c:pt idx="5">
                  <c:v>17.190000000000001</c:v>
                </c:pt>
                <c:pt idx="6">
                  <c:v>17.52</c:v>
                </c:pt>
                <c:pt idx="7">
                  <c:v>17.059999999999999</c:v>
                </c:pt>
              </c:numCache>
            </c:numRef>
          </c:val>
          <c:smooth val="0"/>
          <c:extLst>
            <c:ext xmlns:c16="http://schemas.microsoft.com/office/drawing/2014/chart" uri="{C3380CC4-5D6E-409C-BE32-E72D297353CC}">
              <c16:uniqueId val="{00000002-242C-4348-9591-264793FD923E}"/>
            </c:ext>
          </c:extLst>
        </c:ser>
        <c:ser>
          <c:idx val="3"/>
          <c:order val="3"/>
          <c:tx>
            <c:strRef>
              <c:f>万得!$B$66</c:f>
              <c:strCache>
                <c:ptCount val="1"/>
                <c:pt idx="0">
                  <c:v>中国银行</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万得!$C$66:$J$66</c:f>
              <c:numCache>
                <c:formatCode>0.00_);[Red]\(0.00\)</c:formatCode>
                <c:ptCount val="8"/>
                <c:pt idx="0">
                  <c:v>12.46</c:v>
                </c:pt>
                <c:pt idx="1">
                  <c:v>13.87</c:v>
                </c:pt>
                <c:pt idx="2">
                  <c:v>14.06</c:v>
                </c:pt>
                <c:pt idx="3">
                  <c:v>14.28</c:v>
                </c:pt>
                <c:pt idx="4">
                  <c:v>14.19</c:v>
                </c:pt>
                <c:pt idx="5">
                  <c:v>14.97</c:v>
                </c:pt>
                <c:pt idx="6">
                  <c:v>15.59</c:v>
                </c:pt>
                <c:pt idx="7">
                  <c:v>16.22</c:v>
                </c:pt>
              </c:numCache>
            </c:numRef>
          </c:val>
          <c:smooth val="0"/>
          <c:extLst>
            <c:ext xmlns:c16="http://schemas.microsoft.com/office/drawing/2014/chart" uri="{C3380CC4-5D6E-409C-BE32-E72D297353CC}">
              <c16:uniqueId val="{00000003-242C-4348-9591-264793FD923E}"/>
            </c:ext>
          </c:extLst>
        </c:ser>
        <c:ser>
          <c:idx val="4"/>
          <c:order val="4"/>
          <c:tx>
            <c:strRef>
              <c:f>万得!$B$67</c:f>
              <c:strCache>
                <c:ptCount val="1"/>
                <c:pt idx="0">
                  <c:v>交通银行</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万得!$C$67:$J$67</c:f>
              <c:numCache>
                <c:formatCode>0.00_);[Red]\(0.00\)</c:formatCode>
                <c:ptCount val="8"/>
                <c:pt idx="0">
                  <c:v>12.08</c:v>
                </c:pt>
                <c:pt idx="1">
                  <c:v>14.04</c:v>
                </c:pt>
                <c:pt idx="2">
                  <c:v>13.49</c:v>
                </c:pt>
                <c:pt idx="3">
                  <c:v>14.02</c:v>
                </c:pt>
                <c:pt idx="4">
                  <c:v>14</c:v>
                </c:pt>
                <c:pt idx="5">
                  <c:v>14.37</c:v>
                </c:pt>
                <c:pt idx="6">
                  <c:v>14.83</c:v>
                </c:pt>
                <c:pt idx="7">
                  <c:v>15.25</c:v>
                </c:pt>
              </c:numCache>
            </c:numRef>
          </c:val>
          <c:smooth val="0"/>
          <c:extLst>
            <c:ext xmlns:c16="http://schemas.microsoft.com/office/drawing/2014/chart" uri="{C3380CC4-5D6E-409C-BE32-E72D297353CC}">
              <c16:uniqueId val="{00000004-242C-4348-9591-264793FD923E}"/>
            </c:ext>
          </c:extLst>
        </c:ser>
        <c:ser>
          <c:idx val="5"/>
          <c:order val="5"/>
          <c:tx>
            <c:strRef>
              <c:f>万得!$B$68</c:f>
              <c:strCache>
                <c:ptCount val="1"/>
                <c:pt idx="0">
                  <c:v>邮储银行</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万得!$C$68:$J$68</c:f>
              <c:numCache>
                <c:formatCode>0.00_);[Red]\(0.00\)</c:formatCode>
                <c:ptCount val="8"/>
                <c:pt idx="0">
                  <c:v>8.84</c:v>
                </c:pt>
                <c:pt idx="1">
                  <c:v>9.56</c:v>
                </c:pt>
                <c:pt idx="2">
                  <c:v>10.46</c:v>
                </c:pt>
                <c:pt idx="3">
                  <c:v>11.13</c:v>
                </c:pt>
                <c:pt idx="4">
                  <c:v>12.51</c:v>
                </c:pt>
                <c:pt idx="5">
                  <c:v>13.76</c:v>
                </c:pt>
                <c:pt idx="6">
                  <c:v>13.52</c:v>
                </c:pt>
                <c:pt idx="7">
                  <c:v>13.88</c:v>
                </c:pt>
              </c:numCache>
            </c:numRef>
          </c:val>
          <c:smooth val="0"/>
          <c:extLst>
            <c:ext xmlns:c16="http://schemas.microsoft.com/office/drawing/2014/chart" uri="{C3380CC4-5D6E-409C-BE32-E72D297353CC}">
              <c16:uniqueId val="{00000005-242C-4348-9591-264793FD923E}"/>
            </c:ext>
          </c:extLst>
        </c:ser>
        <c:ser>
          <c:idx val="6"/>
          <c:order val="6"/>
          <c:tx>
            <c:strRef>
              <c:f>万得!$B$69</c:f>
              <c:strCache>
                <c:ptCount val="1"/>
                <c:pt idx="0">
                  <c:v>浦发银行</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万得!$C$69:$J$69</c:f>
              <c:numCache>
                <c:formatCode>0.00_);[Red]\(0.00\)</c:formatCode>
                <c:ptCount val="8"/>
                <c:pt idx="1">
                  <c:v>11.33</c:v>
                </c:pt>
                <c:pt idx="2">
                  <c:v>12.29</c:v>
                </c:pt>
                <c:pt idx="3">
                  <c:v>11.65</c:v>
                </c:pt>
                <c:pt idx="4">
                  <c:v>12.02</c:v>
                </c:pt>
                <c:pt idx="5">
                  <c:v>13.67</c:v>
                </c:pt>
                <c:pt idx="6">
                  <c:v>13.86</c:v>
                </c:pt>
                <c:pt idx="7">
                  <c:v>14.64</c:v>
                </c:pt>
              </c:numCache>
            </c:numRef>
          </c:val>
          <c:smooth val="0"/>
          <c:extLst>
            <c:ext xmlns:c16="http://schemas.microsoft.com/office/drawing/2014/chart" uri="{C3380CC4-5D6E-409C-BE32-E72D297353CC}">
              <c16:uniqueId val="{00000006-242C-4348-9591-264793FD923E}"/>
            </c:ext>
          </c:extLst>
        </c:ser>
        <c:ser>
          <c:idx val="7"/>
          <c:order val="7"/>
          <c:tx>
            <c:strRef>
              <c:f>万得!$B$70</c:f>
              <c:strCache>
                <c:ptCount val="1"/>
                <c:pt idx="0">
                  <c:v>招商银行</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万得!$C$70:$J$70</c:f>
              <c:numCache>
                <c:formatCode>0.00_);[Red]\(0.00\)</c:formatCode>
                <c:ptCount val="8"/>
                <c:pt idx="1">
                  <c:v>12.38</c:v>
                </c:pt>
                <c:pt idx="2">
                  <c:v>12.57</c:v>
                </c:pt>
                <c:pt idx="3">
                  <c:v>13.33</c:v>
                </c:pt>
                <c:pt idx="4">
                  <c:v>15.48</c:v>
                </c:pt>
                <c:pt idx="5">
                  <c:v>15.68</c:v>
                </c:pt>
                <c:pt idx="6">
                  <c:v>15.54</c:v>
                </c:pt>
                <c:pt idx="7">
                  <c:v>16.54</c:v>
                </c:pt>
              </c:numCache>
            </c:numRef>
          </c:val>
          <c:smooth val="0"/>
          <c:extLst>
            <c:ext xmlns:c16="http://schemas.microsoft.com/office/drawing/2014/chart" uri="{C3380CC4-5D6E-409C-BE32-E72D297353CC}">
              <c16:uniqueId val="{00000007-242C-4348-9591-264793FD923E}"/>
            </c:ext>
          </c:extLst>
        </c:ser>
        <c:ser>
          <c:idx val="8"/>
          <c:order val="8"/>
          <c:tx>
            <c:strRef>
              <c:f>万得!$B$71</c:f>
              <c:strCache>
                <c:ptCount val="1"/>
                <c:pt idx="0">
                  <c:v>中信银行</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万得!$C$71:$J$71</c:f>
              <c:numCache>
                <c:formatCode>0.00_);[Red]\(0.00\)</c:formatCode>
                <c:ptCount val="8"/>
                <c:pt idx="1">
                  <c:v>12.33</c:v>
                </c:pt>
                <c:pt idx="2">
                  <c:v>11.87</c:v>
                </c:pt>
                <c:pt idx="3">
                  <c:v>11.98</c:v>
                </c:pt>
                <c:pt idx="4">
                  <c:v>11.65</c:v>
                </c:pt>
                <c:pt idx="5">
                  <c:v>12.47</c:v>
                </c:pt>
                <c:pt idx="6">
                  <c:v>12.44</c:v>
                </c:pt>
                <c:pt idx="7">
                  <c:v>13.01</c:v>
                </c:pt>
              </c:numCache>
            </c:numRef>
          </c:val>
          <c:smooth val="0"/>
          <c:extLst>
            <c:ext xmlns:c16="http://schemas.microsoft.com/office/drawing/2014/chart" uri="{C3380CC4-5D6E-409C-BE32-E72D297353CC}">
              <c16:uniqueId val="{00000008-242C-4348-9591-264793FD923E}"/>
            </c:ext>
          </c:extLst>
        </c:ser>
        <c:ser>
          <c:idx val="9"/>
          <c:order val="9"/>
          <c:tx>
            <c:strRef>
              <c:f>万得!$B$72</c:f>
              <c:strCache>
                <c:ptCount val="1"/>
                <c:pt idx="0">
                  <c:v>兴业银行</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万得!$C$72:$J$72</c:f>
              <c:numCache>
                <c:formatCode>0.00_);[Red]\(0.00\)</c:formatCode>
                <c:ptCount val="8"/>
                <c:pt idx="1">
                  <c:v>11.29</c:v>
                </c:pt>
                <c:pt idx="2">
                  <c:v>11.19</c:v>
                </c:pt>
                <c:pt idx="3">
                  <c:v>12.02</c:v>
                </c:pt>
                <c:pt idx="4">
                  <c:v>12.19</c:v>
                </c:pt>
                <c:pt idx="5">
                  <c:v>12.2</c:v>
                </c:pt>
                <c:pt idx="6">
                  <c:v>13.36</c:v>
                </c:pt>
                <c:pt idx="7">
                  <c:v>13.47</c:v>
                </c:pt>
              </c:numCache>
            </c:numRef>
          </c:val>
          <c:smooth val="0"/>
          <c:extLst>
            <c:ext xmlns:c16="http://schemas.microsoft.com/office/drawing/2014/chart" uri="{C3380CC4-5D6E-409C-BE32-E72D297353CC}">
              <c16:uniqueId val="{00000009-242C-4348-9591-264793FD923E}"/>
            </c:ext>
          </c:extLst>
        </c:ser>
        <c:ser>
          <c:idx val="10"/>
          <c:order val="10"/>
          <c:tx>
            <c:strRef>
              <c:f>万得!$B$73</c:f>
              <c:strCache>
                <c:ptCount val="1"/>
                <c:pt idx="0">
                  <c:v>光大银行</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万得!$C$73:$J$73</c:f>
              <c:numCache>
                <c:formatCode>0.00_);[Red]\(0.00\)</c:formatCode>
                <c:ptCount val="8"/>
                <c:pt idx="1">
                  <c:v>11.21</c:v>
                </c:pt>
                <c:pt idx="2">
                  <c:v>11.87</c:v>
                </c:pt>
                <c:pt idx="3">
                  <c:v>10.8</c:v>
                </c:pt>
                <c:pt idx="4">
                  <c:v>13.49</c:v>
                </c:pt>
                <c:pt idx="5">
                  <c:v>13.01</c:v>
                </c:pt>
                <c:pt idx="6">
                  <c:v>13.47</c:v>
                </c:pt>
                <c:pt idx="7">
                  <c:v>13.9</c:v>
                </c:pt>
              </c:numCache>
            </c:numRef>
          </c:val>
          <c:smooth val="0"/>
          <c:extLst>
            <c:ext xmlns:c16="http://schemas.microsoft.com/office/drawing/2014/chart" uri="{C3380CC4-5D6E-409C-BE32-E72D297353CC}">
              <c16:uniqueId val="{0000000A-242C-4348-9591-264793FD923E}"/>
            </c:ext>
          </c:extLst>
        </c:ser>
        <c:ser>
          <c:idx val="11"/>
          <c:order val="11"/>
          <c:tx>
            <c:strRef>
              <c:f>万得!$B$74</c:f>
              <c:strCache>
                <c:ptCount val="1"/>
                <c:pt idx="0">
                  <c:v>广发银行</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万得!$C$74:$J$74</c:f>
              <c:numCache>
                <c:formatCode>0.00_);[Red]\(0.00\)</c:formatCode>
                <c:ptCount val="8"/>
                <c:pt idx="1">
                  <c:v>10.5</c:v>
                </c:pt>
                <c:pt idx="2">
                  <c:v>11.43</c:v>
                </c:pt>
                <c:pt idx="3">
                  <c:v>10.54</c:v>
                </c:pt>
                <c:pt idx="4">
                  <c:v>10.71</c:v>
                </c:pt>
                <c:pt idx="5">
                  <c:v>11.78</c:v>
                </c:pt>
                <c:pt idx="6">
                  <c:v>12.56</c:v>
                </c:pt>
                <c:pt idx="7">
                  <c:v>12.5</c:v>
                </c:pt>
              </c:numCache>
            </c:numRef>
          </c:val>
          <c:smooth val="0"/>
          <c:extLst>
            <c:ext xmlns:c16="http://schemas.microsoft.com/office/drawing/2014/chart" uri="{C3380CC4-5D6E-409C-BE32-E72D297353CC}">
              <c16:uniqueId val="{0000000B-242C-4348-9591-264793FD923E}"/>
            </c:ext>
          </c:extLst>
        </c:ser>
        <c:ser>
          <c:idx val="12"/>
          <c:order val="12"/>
          <c:tx>
            <c:strRef>
              <c:f>万得!$B$75</c:f>
              <c:strCache>
                <c:ptCount val="1"/>
                <c:pt idx="0">
                  <c:v>华夏银行</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万得!$C$75:$J$75</c:f>
              <c:numCache>
                <c:formatCode>0.00_);[Red]\(0.00\)</c:formatCode>
                <c:ptCount val="8"/>
                <c:pt idx="1">
                  <c:v>11.03</c:v>
                </c:pt>
                <c:pt idx="2">
                  <c:v>10.85</c:v>
                </c:pt>
                <c:pt idx="3">
                  <c:v>11.36</c:v>
                </c:pt>
                <c:pt idx="4">
                  <c:v>12.37</c:v>
                </c:pt>
                <c:pt idx="5">
                  <c:v>13.19</c:v>
                </c:pt>
                <c:pt idx="6">
                  <c:v>13.89</c:v>
                </c:pt>
                <c:pt idx="7">
                  <c:v>13.08</c:v>
                </c:pt>
              </c:numCache>
            </c:numRef>
          </c:val>
          <c:smooth val="0"/>
          <c:extLst>
            <c:ext xmlns:c16="http://schemas.microsoft.com/office/drawing/2014/chart" uri="{C3380CC4-5D6E-409C-BE32-E72D297353CC}">
              <c16:uniqueId val="{0000000C-242C-4348-9591-264793FD923E}"/>
            </c:ext>
          </c:extLst>
        </c:ser>
        <c:ser>
          <c:idx val="13"/>
          <c:order val="13"/>
          <c:tx>
            <c:strRef>
              <c:f>万得!$B$76</c:f>
              <c:strCache>
                <c:ptCount val="1"/>
                <c:pt idx="0">
                  <c:v>民生银行</c:v>
                </c:pt>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万得!$C$76:$J$76</c:f>
              <c:numCache>
                <c:formatCode>0.00_);[Red]\(0.00\)</c:formatCode>
                <c:ptCount val="8"/>
                <c:pt idx="1">
                  <c:v>10.69</c:v>
                </c:pt>
                <c:pt idx="2">
                  <c:v>11.49</c:v>
                </c:pt>
                <c:pt idx="3">
                  <c:v>11.73</c:v>
                </c:pt>
                <c:pt idx="4">
                  <c:v>11.85</c:v>
                </c:pt>
                <c:pt idx="5">
                  <c:v>11.75</c:v>
                </c:pt>
                <c:pt idx="6">
                  <c:v>13.17</c:v>
                </c:pt>
                <c:pt idx="7">
                  <c:v>13.04</c:v>
                </c:pt>
              </c:numCache>
            </c:numRef>
          </c:val>
          <c:smooth val="0"/>
          <c:extLst>
            <c:ext xmlns:c16="http://schemas.microsoft.com/office/drawing/2014/chart" uri="{C3380CC4-5D6E-409C-BE32-E72D297353CC}">
              <c16:uniqueId val="{0000000D-242C-4348-9591-264793FD923E}"/>
            </c:ext>
          </c:extLst>
        </c:ser>
        <c:ser>
          <c:idx val="14"/>
          <c:order val="14"/>
          <c:tx>
            <c:strRef>
              <c:f>万得!$B$77</c:f>
              <c:strCache>
                <c:ptCount val="1"/>
                <c:pt idx="0">
                  <c:v>平安银行</c:v>
                </c:pt>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万得!$C$77:$J$77</c:f>
              <c:numCache>
                <c:formatCode>0.00_);[Red]\(0.00\)</c:formatCode>
                <c:ptCount val="8"/>
                <c:pt idx="1">
                  <c:v>10.86</c:v>
                </c:pt>
                <c:pt idx="2">
                  <c:v>10.94</c:v>
                </c:pt>
                <c:pt idx="3">
                  <c:v>11.53</c:v>
                </c:pt>
                <c:pt idx="4">
                  <c:v>11.2</c:v>
                </c:pt>
                <c:pt idx="5">
                  <c:v>11.5</c:v>
                </c:pt>
                <c:pt idx="6">
                  <c:v>13.22</c:v>
                </c:pt>
                <c:pt idx="7">
                  <c:v>13.29</c:v>
                </c:pt>
              </c:numCache>
            </c:numRef>
          </c:val>
          <c:smooth val="0"/>
          <c:extLst>
            <c:ext xmlns:c16="http://schemas.microsoft.com/office/drawing/2014/chart" uri="{C3380CC4-5D6E-409C-BE32-E72D297353CC}">
              <c16:uniqueId val="{0000000E-242C-4348-9591-264793FD923E}"/>
            </c:ext>
          </c:extLst>
        </c:ser>
        <c:dLbls>
          <c:showLegendKey val="0"/>
          <c:showVal val="0"/>
          <c:showCatName val="0"/>
          <c:showSerName val="0"/>
          <c:showPercent val="0"/>
          <c:showBubbleSize val="0"/>
        </c:dLbls>
        <c:marker val="1"/>
        <c:smooth val="0"/>
        <c:axId val="1687523296"/>
        <c:axId val="1585260800"/>
      </c:lineChart>
      <c:catAx>
        <c:axId val="168752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5260800"/>
        <c:crosses val="autoZero"/>
        <c:auto val="1"/>
        <c:lblAlgn val="ctr"/>
        <c:lblOffset val="100"/>
        <c:noMultiLvlLbl val="0"/>
      </c:catAx>
      <c:valAx>
        <c:axId val="1585260800"/>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baseline="0">
                    <a:effectLst/>
                  </a:rPr>
                  <a:t>资本充足率（</a:t>
                </a:r>
                <a:r>
                  <a:rPr lang="en-US" altLang="zh-CN" sz="1000" b="0" i="0" baseline="0">
                    <a:effectLst/>
                  </a:rPr>
                  <a:t>%</a:t>
                </a:r>
                <a:r>
                  <a:rPr lang="zh-CN" altLang="zh-CN" sz="1000" b="0" i="0" baseline="0">
                    <a:effectLst/>
                  </a:rPr>
                  <a:t>）</a:t>
                </a:r>
                <a:endParaRPr lang="zh-CN" altLang="zh-CN" sz="1000">
                  <a:effectLst/>
                </a:endParaRPr>
              </a:p>
            </c:rich>
          </c:tx>
          <c:layout>
            <c:manualLayout>
              <c:xMode val="edge"/>
              <c:yMode val="edge"/>
              <c:x val="3.0555555555555555E-2"/>
              <c:y val="7.962962962962962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out"/>
        <c:minorTickMark val="out"/>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752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招行兴业同业负债平均成本率对比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招行同业负债平均成本率</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(Sheet1!$C$88,Sheet1!$F$88,Sheet1!$I$88,Sheet1!$L$88,Sheet1!$O$88)</c:f>
              <c:numCache>
                <c:formatCode>0.00%</c:formatCode>
                <c:ptCount val="5"/>
                <c:pt idx="0">
                  <c:v>2.3099999999999999E-2</c:v>
                </c:pt>
                <c:pt idx="1">
                  <c:v>2.7400000000000001E-2</c:v>
                </c:pt>
                <c:pt idx="2">
                  <c:v>2.6700000000000002E-2</c:v>
                </c:pt>
                <c:pt idx="3">
                  <c:v>2.2599999999999999E-2</c:v>
                </c:pt>
                <c:pt idx="4">
                  <c:v>1.6400000000000001E-2</c:v>
                </c:pt>
              </c:numCache>
            </c:numRef>
          </c:val>
          <c:smooth val="0"/>
          <c:extLst>
            <c:ext xmlns:c16="http://schemas.microsoft.com/office/drawing/2014/chart" uri="{C3380CC4-5D6E-409C-BE32-E72D297353CC}">
              <c16:uniqueId val="{00000000-462A-4F80-84D0-BD705C490533}"/>
            </c:ext>
          </c:extLst>
        </c:ser>
        <c:ser>
          <c:idx val="1"/>
          <c:order val="1"/>
          <c:tx>
            <c:v>兴业同业负债平均成本率</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(Sheet1!$C$93,Sheet1!$F$93,Sheet1!$I$93,Sheet1!$L$93,Sheet1!$O$93)</c:f>
              <c:numCache>
                <c:formatCode>0.00%</c:formatCode>
                <c:ptCount val="5"/>
                <c:pt idx="0">
                  <c:v>2.92E-2</c:v>
                </c:pt>
                <c:pt idx="1">
                  <c:v>3.7100000000000001E-2</c:v>
                </c:pt>
                <c:pt idx="2">
                  <c:v>3.6600000000000001E-2</c:v>
                </c:pt>
                <c:pt idx="3">
                  <c:v>2.8299999999999999E-2</c:v>
                </c:pt>
                <c:pt idx="4">
                  <c:v>2.1700000000000001E-2</c:v>
                </c:pt>
              </c:numCache>
            </c:numRef>
          </c:val>
          <c:smooth val="0"/>
          <c:extLst>
            <c:ext xmlns:c16="http://schemas.microsoft.com/office/drawing/2014/chart" uri="{C3380CC4-5D6E-409C-BE32-E72D297353CC}">
              <c16:uniqueId val="{00000001-462A-4F80-84D0-BD705C490533}"/>
            </c:ext>
          </c:extLst>
        </c:ser>
        <c:dLbls>
          <c:showLegendKey val="0"/>
          <c:showVal val="0"/>
          <c:showCatName val="0"/>
          <c:showSerName val="0"/>
          <c:showPercent val="0"/>
          <c:showBubbleSize val="0"/>
        </c:dLbls>
        <c:marker val="1"/>
        <c:smooth val="0"/>
        <c:axId val="184524943"/>
        <c:axId val="2039624255"/>
      </c:lineChart>
      <c:catAx>
        <c:axId val="184524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24255"/>
        <c:crosses val="autoZero"/>
        <c:auto val="1"/>
        <c:lblAlgn val="ctr"/>
        <c:lblOffset val="100"/>
        <c:noMultiLvlLbl val="0"/>
      </c:catAx>
      <c:valAx>
        <c:axId val="2039624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同业负债平均收益率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solidFill>
            <a:schemeClr val="bg1"/>
          </a:solid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524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招行兴业存款平均成本率对比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招行存款平均成本率</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Sheet1!$G$1:$K$1</c:f>
              <c:numCache>
                <c:formatCode>General</c:formatCode>
                <c:ptCount val="5"/>
                <c:pt idx="0">
                  <c:v>2016</c:v>
                </c:pt>
                <c:pt idx="1">
                  <c:v>2017</c:v>
                </c:pt>
                <c:pt idx="2">
                  <c:v>2018</c:v>
                </c:pt>
                <c:pt idx="3">
                  <c:v>2019</c:v>
                </c:pt>
                <c:pt idx="4">
                  <c:v>2020</c:v>
                </c:pt>
              </c:numCache>
            </c:numRef>
          </c:cat>
          <c:val>
            <c:numRef>
              <c:f>(Sheet1!$C$87,Sheet1!$F$87,Sheet1!$I$87,Sheet1!$L$87,Sheet1!$O$87)</c:f>
              <c:numCache>
                <c:formatCode>0.00%</c:formatCode>
                <c:ptCount val="5"/>
                <c:pt idx="0">
                  <c:v>1.2699999999999999E-2</c:v>
                </c:pt>
                <c:pt idx="1">
                  <c:v>1.2699999999999999E-2</c:v>
                </c:pt>
                <c:pt idx="2">
                  <c:v>1.4500000000000001E-2</c:v>
                </c:pt>
                <c:pt idx="3">
                  <c:v>1.5800000000000002E-2</c:v>
                </c:pt>
                <c:pt idx="4">
                  <c:v>1.55E-2</c:v>
                </c:pt>
              </c:numCache>
            </c:numRef>
          </c:val>
          <c:smooth val="0"/>
          <c:extLst>
            <c:ext xmlns:c16="http://schemas.microsoft.com/office/drawing/2014/chart" uri="{C3380CC4-5D6E-409C-BE32-E72D297353CC}">
              <c16:uniqueId val="{00000000-52FB-412C-ABF7-DA3A57D14CE2}"/>
            </c:ext>
          </c:extLst>
        </c:ser>
        <c:ser>
          <c:idx val="1"/>
          <c:order val="1"/>
          <c:tx>
            <c:v>兴业存款平均成本率</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Sheet1!$G$1:$K$1</c:f>
              <c:numCache>
                <c:formatCode>General</c:formatCode>
                <c:ptCount val="5"/>
                <c:pt idx="0">
                  <c:v>2016</c:v>
                </c:pt>
                <c:pt idx="1">
                  <c:v>2017</c:v>
                </c:pt>
                <c:pt idx="2">
                  <c:v>2018</c:v>
                </c:pt>
                <c:pt idx="3">
                  <c:v>2019</c:v>
                </c:pt>
                <c:pt idx="4">
                  <c:v>2020</c:v>
                </c:pt>
              </c:numCache>
            </c:numRef>
          </c:cat>
          <c:val>
            <c:numRef>
              <c:f>(Sheet1!$C$92,Sheet1!$F$92,Sheet1!$I$92,Sheet1!$L$92,Sheet1!$O$92)</c:f>
              <c:numCache>
                <c:formatCode>0.00%</c:formatCode>
                <c:ptCount val="5"/>
                <c:pt idx="0">
                  <c:v>1.7000000000000001E-2</c:v>
                </c:pt>
                <c:pt idx="1">
                  <c:v>1.89E-2</c:v>
                </c:pt>
                <c:pt idx="2">
                  <c:v>2.1899999999999999E-2</c:v>
                </c:pt>
                <c:pt idx="3">
                  <c:v>2.3900000000000001E-2</c:v>
                </c:pt>
                <c:pt idx="4">
                  <c:v>2.2599999999999999E-2</c:v>
                </c:pt>
              </c:numCache>
            </c:numRef>
          </c:val>
          <c:smooth val="0"/>
          <c:extLst>
            <c:ext xmlns:c16="http://schemas.microsoft.com/office/drawing/2014/chart" uri="{C3380CC4-5D6E-409C-BE32-E72D297353CC}">
              <c16:uniqueId val="{00000001-52FB-412C-ABF7-DA3A57D14CE2}"/>
            </c:ext>
          </c:extLst>
        </c:ser>
        <c:dLbls>
          <c:showLegendKey val="0"/>
          <c:showVal val="0"/>
          <c:showCatName val="0"/>
          <c:showSerName val="0"/>
          <c:showPercent val="0"/>
          <c:showBubbleSize val="0"/>
        </c:dLbls>
        <c:marker val="1"/>
        <c:smooth val="0"/>
        <c:axId val="184524943"/>
        <c:axId val="2039624255"/>
      </c:lineChart>
      <c:catAx>
        <c:axId val="184524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24255"/>
        <c:crosses val="autoZero"/>
        <c:auto val="1"/>
        <c:lblAlgn val="ctr"/>
        <c:lblOffset val="100"/>
        <c:noMultiLvlLbl val="0"/>
      </c:catAx>
      <c:valAx>
        <c:axId val="2039624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存款平均收益率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solidFill>
            <a:schemeClr val="bg1"/>
          </a:solid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524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兴业存款结构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Sheet2!$A$6</c:f>
              <c:strCache>
                <c:ptCount val="1"/>
                <c:pt idx="0">
                  <c:v>兴业对公存款占比</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Sheet2!$B$6:$F$6</c:f>
              <c:numCache>
                <c:formatCode>0.00%</c:formatCode>
                <c:ptCount val="5"/>
                <c:pt idx="0">
                  <c:v>0.79659999999999997</c:v>
                </c:pt>
                <c:pt idx="1">
                  <c:v>0.79590000000000005</c:v>
                </c:pt>
                <c:pt idx="2">
                  <c:v>0.76989999999999992</c:v>
                </c:pt>
                <c:pt idx="3">
                  <c:v>0.74639999999999995</c:v>
                </c:pt>
                <c:pt idx="4">
                  <c:v>0.74250000000000005</c:v>
                </c:pt>
              </c:numCache>
            </c:numRef>
          </c:val>
          <c:extLst>
            <c:ext xmlns:c16="http://schemas.microsoft.com/office/drawing/2014/chart" uri="{C3380CC4-5D6E-409C-BE32-E72D297353CC}">
              <c16:uniqueId val="{00000000-5DFE-486F-BE86-71DD2DD9615B}"/>
            </c:ext>
          </c:extLst>
        </c:ser>
        <c:ser>
          <c:idx val="1"/>
          <c:order val="1"/>
          <c:tx>
            <c:strRef>
              <c:f>Sheet2!$A$7</c:f>
              <c:strCache>
                <c:ptCount val="1"/>
                <c:pt idx="0">
                  <c:v>兴业零售存款占比</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Sheet2!$B$7:$F$7</c:f>
              <c:numCache>
                <c:formatCode>0.00%</c:formatCode>
                <c:ptCount val="5"/>
                <c:pt idx="0">
                  <c:v>0.13019999999999998</c:v>
                </c:pt>
                <c:pt idx="1">
                  <c:v>0.13650000000000001</c:v>
                </c:pt>
                <c:pt idx="2">
                  <c:v>0.15909999999999999</c:v>
                </c:pt>
                <c:pt idx="3">
                  <c:v>0.17600000000000002</c:v>
                </c:pt>
                <c:pt idx="4">
                  <c:v>0.1797</c:v>
                </c:pt>
              </c:numCache>
            </c:numRef>
          </c:val>
          <c:extLst>
            <c:ext xmlns:c16="http://schemas.microsoft.com/office/drawing/2014/chart" uri="{C3380CC4-5D6E-409C-BE32-E72D297353CC}">
              <c16:uniqueId val="{00000001-5DFE-486F-BE86-71DD2DD9615B}"/>
            </c:ext>
          </c:extLst>
        </c:ser>
        <c:dLbls>
          <c:dLblPos val="ctr"/>
          <c:showLegendKey val="0"/>
          <c:showVal val="1"/>
          <c:showCatName val="0"/>
          <c:showSerName val="0"/>
          <c:showPercent val="0"/>
          <c:showBubbleSize val="0"/>
        </c:dLbls>
        <c:gapWidth val="150"/>
        <c:overlap val="100"/>
        <c:axId val="1236064240"/>
        <c:axId val="1110460336"/>
      </c:barChart>
      <c:catAx>
        <c:axId val="1236064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0460336"/>
        <c:crosses val="autoZero"/>
        <c:auto val="1"/>
        <c:lblAlgn val="ctr"/>
        <c:lblOffset val="100"/>
        <c:noMultiLvlLbl val="0"/>
      </c:catAx>
      <c:valAx>
        <c:axId val="1110460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606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招行存款结构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Sheet2!$A$2</c:f>
              <c:strCache>
                <c:ptCount val="1"/>
                <c:pt idx="0">
                  <c:v>招行对公存款占比</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Sheet2!$B$2:$F$2</c:f>
              <c:numCache>
                <c:formatCode>0.00%</c:formatCode>
                <c:ptCount val="5"/>
                <c:pt idx="0">
                  <c:v>0.66209999999999991</c:v>
                </c:pt>
                <c:pt idx="1">
                  <c:v>0.67069999999999996</c:v>
                </c:pt>
                <c:pt idx="2">
                  <c:v>0.64480000000000004</c:v>
                </c:pt>
                <c:pt idx="3">
                  <c:v>0.62709999999999999</c:v>
                </c:pt>
                <c:pt idx="4">
                  <c:v>0.63890000000000002</c:v>
                </c:pt>
              </c:numCache>
            </c:numRef>
          </c:val>
          <c:extLst>
            <c:ext xmlns:c16="http://schemas.microsoft.com/office/drawing/2014/chart" uri="{C3380CC4-5D6E-409C-BE32-E72D297353CC}">
              <c16:uniqueId val="{00000000-10CE-4AD0-81B6-9D97D3828BEA}"/>
            </c:ext>
          </c:extLst>
        </c:ser>
        <c:ser>
          <c:idx val="1"/>
          <c:order val="1"/>
          <c:tx>
            <c:strRef>
              <c:f>Sheet2!$A$3</c:f>
              <c:strCache>
                <c:ptCount val="1"/>
                <c:pt idx="0">
                  <c:v>招行零售存款占比</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Sheet2!$B$3:$F$3</c:f>
              <c:numCache>
                <c:formatCode>0.00%</c:formatCode>
                <c:ptCount val="5"/>
                <c:pt idx="0">
                  <c:v>0.33789999999999998</c:v>
                </c:pt>
                <c:pt idx="1">
                  <c:v>0.32929999999999998</c:v>
                </c:pt>
                <c:pt idx="2">
                  <c:v>0.35520000000000002</c:v>
                </c:pt>
                <c:pt idx="3">
                  <c:v>0.37290000000000001</c:v>
                </c:pt>
                <c:pt idx="4">
                  <c:v>0.36109999999999998</c:v>
                </c:pt>
              </c:numCache>
            </c:numRef>
          </c:val>
          <c:extLst>
            <c:ext xmlns:c16="http://schemas.microsoft.com/office/drawing/2014/chart" uri="{C3380CC4-5D6E-409C-BE32-E72D297353CC}">
              <c16:uniqueId val="{00000001-10CE-4AD0-81B6-9D97D3828BEA}"/>
            </c:ext>
          </c:extLst>
        </c:ser>
        <c:dLbls>
          <c:dLblPos val="ctr"/>
          <c:showLegendKey val="0"/>
          <c:showVal val="1"/>
          <c:showCatName val="0"/>
          <c:showSerName val="0"/>
          <c:showPercent val="0"/>
          <c:showBubbleSize val="0"/>
        </c:dLbls>
        <c:gapWidth val="150"/>
        <c:overlap val="100"/>
        <c:axId val="1236064240"/>
        <c:axId val="1110460336"/>
      </c:barChart>
      <c:catAx>
        <c:axId val="1236064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0460336"/>
        <c:crosses val="autoZero"/>
        <c:auto val="1"/>
        <c:lblAlgn val="ctr"/>
        <c:lblOffset val="100"/>
        <c:noMultiLvlLbl val="0"/>
      </c:catAx>
      <c:valAx>
        <c:axId val="1110460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606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招行兴业对公存款成本率对比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Sheet2!$A$4</c:f>
              <c:strCache>
                <c:ptCount val="1"/>
                <c:pt idx="0">
                  <c:v>招行对公存款成本率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Sheet2!$B$4:$F$4</c:f>
              <c:numCache>
                <c:formatCode>0.00%</c:formatCode>
                <c:ptCount val="5"/>
                <c:pt idx="0">
                  <c:v>1.46E-2</c:v>
                </c:pt>
                <c:pt idx="1">
                  <c:v>1.4999999999999999E-2</c:v>
                </c:pt>
                <c:pt idx="2">
                  <c:v>1.67E-2</c:v>
                </c:pt>
                <c:pt idx="3">
                  <c:v>1.7500000000000002E-2</c:v>
                </c:pt>
                <c:pt idx="4">
                  <c:v>1.7299999999999999E-2</c:v>
                </c:pt>
              </c:numCache>
            </c:numRef>
          </c:val>
          <c:smooth val="0"/>
          <c:extLst>
            <c:ext xmlns:c16="http://schemas.microsoft.com/office/drawing/2014/chart" uri="{C3380CC4-5D6E-409C-BE32-E72D297353CC}">
              <c16:uniqueId val="{00000000-646D-4A22-9998-6CD2DAF98A64}"/>
            </c:ext>
          </c:extLst>
        </c:ser>
        <c:ser>
          <c:idx val="1"/>
          <c:order val="1"/>
          <c:tx>
            <c:strRef>
              <c:f>Sheet2!$A$8</c:f>
              <c:strCache>
                <c:ptCount val="1"/>
                <c:pt idx="0">
                  <c:v>兴业对公存款成本率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Sheet2!$B$8:$F$8</c:f>
              <c:numCache>
                <c:formatCode>0.00%</c:formatCode>
                <c:ptCount val="5"/>
                <c:pt idx="0">
                  <c:v>1.72E-2</c:v>
                </c:pt>
                <c:pt idx="1">
                  <c:v>1.9299999999999998E-2</c:v>
                </c:pt>
                <c:pt idx="2">
                  <c:v>2.2499999999999999E-2</c:v>
                </c:pt>
                <c:pt idx="3">
                  <c:v>2.4199999999999999E-2</c:v>
                </c:pt>
                <c:pt idx="4">
                  <c:v>2.2499999999999999E-2</c:v>
                </c:pt>
              </c:numCache>
            </c:numRef>
          </c:val>
          <c:smooth val="0"/>
          <c:extLst>
            <c:ext xmlns:c16="http://schemas.microsoft.com/office/drawing/2014/chart" uri="{C3380CC4-5D6E-409C-BE32-E72D297353CC}">
              <c16:uniqueId val="{00000001-646D-4A22-9998-6CD2DAF98A64}"/>
            </c:ext>
          </c:extLst>
        </c:ser>
        <c:dLbls>
          <c:dLblPos val="t"/>
          <c:showLegendKey val="0"/>
          <c:showVal val="1"/>
          <c:showCatName val="0"/>
          <c:showSerName val="0"/>
          <c:showPercent val="0"/>
          <c:showBubbleSize val="0"/>
        </c:dLbls>
        <c:marker val="1"/>
        <c:smooth val="0"/>
        <c:axId val="1419641632"/>
        <c:axId val="776756288"/>
      </c:lineChart>
      <c:catAx>
        <c:axId val="141964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756288"/>
        <c:crosses val="autoZero"/>
        <c:auto val="1"/>
        <c:lblAlgn val="ctr"/>
        <c:lblOffset val="100"/>
        <c:noMultiLvlLbl val="0"/>
      </c:catAx>
      <c:valAx>
        <c:axId val="77675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对公存款成本率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964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招行兴业零售存款成本率对比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Sheet2!$A$5</c:f>
              <c:strCache>
                <c:ptCount val="1"/>
                <c:pt idx="0">
                  <c:v>招行零售存款成本率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Sheet2!$B$5:$F$5</c:f>
              <c:numCache>
                <c:formatCode>0.00%</c:formatCode>
                <c:ptCount val="5"/>
                <c:pt idx="0">
                  <c:v>9.0000000000000011E-3</c:v>
                </c:pt>
                <c:pt idx="1">
                  <c:v>8.0000000000000002E-3</c:v>
                </c:pt>
                <c:pt idx="2">
                  <c:v>1.03E-2</c:v>
                </c:pt>
                <c:pt idx="3">
                  <c:v>1.2800000000000001E-2</c:v>
                </c:pt>
                <c:pt idx="4">
                  <c:v>1.2199999999999999E-2</c:v>
                </c:pt>
              </c:numCache>
            </c:numRef>
          </c:val>
          <c:smooth val="0"/>
          <c:extLst>
            <c:ext xmlns:c16="http://schemas.microsoft.com/office/drawing/2014/chart" uri="{C3380CC4-5D6E-409C-BE32-E72D297353CC}">
              <c16:uniqueId val="{00000000-7353-4E52-9A06-33057E02DB58}"/>
            </c:ext>
          </c:extLst>
        </c:ser>
        <c:ser>
          <c:idx val="1"/>
          <c:order val="1"/>
          <c:tx>
            <c:strRef>
              <c:f>Sheet2!$A$9</c:f>
              <c:strCache>
                <c:ptCount val="1"/>
                <c:pt idx="0">
                  <c:v>兴业零售存款成本率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Sheet2!$B$9:$F$9</c:f>
              <c:numCache>
                <c:formatCode>0.00%</c:formatCode>
                <c:ptCount val="5"/>
                <c:pt idx="0">
                  <c:v>1.5600000000000001E-2</c:v>
                </c:pt>
                <c:pt idx="1">
                  <c:v>1.67E-2</c:v>
                </c:pt>
                <c:pt idx="2">
                  <c:v>1.84E-2</c:v>
                </c:pt>
                <c:pt idx="3">
                  <c:v>2.2499999999999999E-2</c:v>
                </c:pt>
                <c:pt idx="4">
                  <c:v>2.3E-2</c:v>
                </c:pt>
              </c:numCache>
            </c:numRef>
          </c:val>
          <c:smooth val="0"/>
          <c:extLst>
            <c:ext xmlns:c16="http://schemas.microsoft.com/office/drawing/2014/chart" uri="{C3380CC4-5D6E-409C-BE32-E72D297353CC}">
              <c16:uniqueId val="{00000001-7353-4E52-9A06-33057E02DB58}"/>
            </c:ext>
          </c:extLst>
        </c:ser>
        <c:dLbls>
          <c:dLblPos val="t"/>
          <c:showLegendKey val="0"/>
          <c:showVal val="1"/>
          <c:showCatName val="0"/>
          <c:showSerName val="0"/>
          <c:showPercent val="0"/>
          <c:showBubbleSize val="0"/>
        </c:dLbls>
        <c:marker val="1"/>
        <c:smooth val="0"/>
        <c:axId val="1419641632"/>
        <c:axId val="776756288"/>
      </c:lineChart>
      <c:catAx>
        <c:axId val="141964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756288"/>
        <c:crosses val="autoZero"/>
        <c:auto val="1"/>
        <c:lblAlgn val="ctr"/>
        <c:lblOffset val="100"/>
        <c:noMultiLvlLbl val="0"/>
      </c:catAx>
      <c:valAx>
        <c:axId val="77675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零售存款成本率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964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招行存款结构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Sheet2!$P$2</c:f>
              <c:strCache>
                <c:ptCount val="1"/>
                <c:pt idx="0">
                  <c:v>招行对公活期占比</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Sheet2!$Q$1:$U$1</c:f>
              <c:numCache>
                <c:formatCode>General</c:formatCode>
                <c:ptCount val="5"/>
                <c:pt idx="0">
                  <c:v>2016</c:v>
                </c:pt>
                <c:pt idx="1">
                  <c:v>2017</c:v>
                </c:pt>
                <c:pt idx="2">
                  <c:v>2018</c:v>
                </c:pt>
                <c:pt idx="3">
                  <c:v>2019</c:v>
                </c:pt>
                <c:pt idx="4">
                  <c:v>2020</c:v>
                </c:pt>
              </c:numCache>
            </c:numRef>
          </c:cat>
          <c:val>
            <c:numRef>
              <c:f>Sheet2!$Q$2:$U$2</c:f>
              <c:numCache>
                <c:formatCode>0.00%</c:formatCode>
                <c:ptCount val="5"/>
                <c:pt idx="0">
                  <c:v>0.37909999999999999</c:v>
                </c:pt>
                <c:pt idx="1">
                  <c:v>0.38919999999999999</c:v>
                </c:pt>
                <c:pt idx="2">
                  <c:v>0.41249999999999998</c:v>
                </c:pt>
                <c:pt idx="3">
                  <c:v>0.3493</c:v>
                </c:pt>
                <c:pt idx="4">
                  <c:v>0.4098</c:v>
                </c:pt>
              </c:numCache>
            </c:numRef>
          </c:val>
          <c:extLst>
            <c:ext xmlns:c16="http://schemas.microsoft.com/office/drawing/2014/chart" uri="{C3380CC4-5D6E-409C-BE32-E72D297353CC}">
              <c16:uniqueId val="{00000000-D046-46BD-A2C7-82451804D0B6}"/>
            </c:ext>
          </c:extLst>
        </c:ser>
        <c:ser>
          <c:idx val="1"/>
          <c:order val="1"/>
          <c:tx>
            <c:strRef>
              <c:f>Sheet2!$P$3</c:f>
              <c:strCache>
                <c:ptCount val="1"/>
                <c:pt idx="0">
                  <c:v>招行对公定期占比</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Sheet2!$Q$1:$U$1</c:f>
              <c:numCache>
                <c:formatCode>General</c:formatCode>
                <c:ptCount val="5"/>
                <c:pt idx="0">
                  <c:v>2016</c:v>
                </c:pt>
                <c:pt idx="1">
                  <c:v>2017</c:v>
                </c:pt>
                <c:pt idx="2">
                  <c:v>2018</c:v>
                </c:pt>
                <c:pt idx="3">
                  <c:v>2019</c:v>
                </c:pt>
                <c:pt idx="4">
                  <c:v>2020</c:v>
                </c:pt>
              </c:numCache>
            </c:numRef>
          </c:cat>
          <c:val>
            <c:numRef>
              <c:f>Sheet2!$Q$3:$U$3</c:f>
              <c:numCache>
                <c:formatCode>0.00%</c:formatCode>
                <c:ptCount val="5"/>
                <c:pt idx="0">
                  <c:v>0.28299999999999997</c:v>
                </c:pt>
                <c:pt idx="1">
                  <c:v>0.28149999999999997</c:v>
                </c:pt>
                <c:pt idx="2">
                  <c:v>0.23230000000000001</c:v>
                </c:pt>
                <c:pt idx="3">
                  <c:v>0.27789999999999998</c:v>
                </c:pt>
                <c:pt idx="4">
                  <c:v>0.2291</c:v>
                </c:pt>
              </c:numCache>
            </c:numRef>
          </c:val>
          <c:extLst>
            <c:ext xmlns:c16="http://schemas.microsoft.com/office/drawing/2014/chart" uri="{C3380CC4-5D6E-409C-BE32-E72D297353CC}">
              <c16:uniqueId val="{00000001-D046-46BD-A2C7-82451804D0B6}"/>
            </c:ext>
          </c:extLst>
        </c:ser>
        <c:ser>
          <c:idx val="2"/>
          <c:order val="2"/>
          <c:tx>
            <c:strRef>
              <c:f>Sheet2!$P$4</c:f>
              <c:strCache>
                <c:ptCount val="1"/>
                <c:pt idx="0">
                  <c:v>招行零售活期占比</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Sheet2!$Q$1:$U$1</c:f>
              <c:numCache>
                <c:formatCode>General</c:formatCode>
                <c:ptCount val="5"/>
                <c:pt idx="0">
                  <c:v>2016</c:v>
                </c:pt>
                <c:pt idx="1">
                  <c:v>2017</c:v>
                </c:pt>
                <c:pt idx="2">
                  <c:v>2018</c:v>
                </c:pt>
                <c:pt idx="3">
                  <c:v>2019</c:v>
                </c:pt>
                <c:pt idx="4">
                  <c:v>2020</c:v>
                </c:pt>
              </c:numCache>
            </c:numRef>
          </c:cat>
          <c:val>
            <c:numRef>
              <c:f>Sheet2!$Q$4:$U$4</c:f>
              <c:numCache>
                <c:formatCode>0.00%</c:formatCode>
                <c:ptCount val="5"/>
                <c:pt idx="0">
                  <c:v>0.25030000000000002</c:v>
                </c:pt>
                <c:pt idx="1">
                  <c:v>0.2392</c:v>
                </c:pt>
                <c:pt idx="2">
                  <c:v>0.2409</c:v>
                </c:pt>
                <c:pt idx="3">
                  <c:v>0.24179999999999999</c:v>
                </c:pt>
                <c:pt idx="4">
                  <c:v>0.24879999999999999</c:v>
                </c:pt>
              </c:numCache>
            </c:numRef>
          </c:val>
          <c:extLst>
            <c:ext xmlns:c16="http://schemas.microsoft.com/office/drawing/2014/chart" uri="{C3380CC4-5D6E-409C-BE32-E72D297353CC}">
              <c16:uniqueId val="{00000002-D046-46BD-A2C7-82451804D0B6}"/>
            </c:ext>
          </c:extLst>
        </c:ser>
        <c:ser>
          <c:idx val="3"/>
          <c:order val="3"/>
          <c:tx>
            <c:strRef>
              <c:f>Sheet2!$P$5</c:f>
              <c:strCache>
                <c:ptCount val="1"/>
                <c:pt idx="0">
                  <c:v>招行零售定期占比</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Sheet2!$Q$1:$U$1</c:f>
              <c:numCache>
                <c:formatCode>General</c:formatCode>
                <c:ptCount val="5"/>
                <c:pt idx="0">
                  <c:v>2016</c:v>
                </c:pt>
                <c:pt idx="1">
                  <c:v>2017</c:v>
                </c:pt>
                <c:pt idx="2">
                  <c:v>2018</c:v>
                </c:pt>
                <c:pt idx="3">
                  <c:v>2019</c:v>
                </c:pt>
                <c:pt idx="4">
                  <c:v>2020</c:v>
                </c:pt>
              </c:numCache>
            </c:numRef>
          </c:cat>
          <c:val>
            <c:numRef>
              <c:f>Sheet2!$Q$5:$U$5</c:f>
              <c:numCache>
                <c:formatCode>0.00%</c:formatCode>
                <c:ptCount val="5"/>
                <c:pt idx="0">
                  <c:v>8.7599999999999997E-2</c:v>
                </c:pt>
                <c:pt idx="1">
                  <c:v>9.01E-2</c:v>
                </c:pt>
                <c:pt idx="2">
                  <c:v>0.1143</c:v>
                </c:pt>
                <c:pt idx="3">
                  <c:v>0.13100000000000001</c:v>
                </c:pt>
                <c:pt idx="4">
                  <c:v>0.1123</c:v>
                </c:pt>
              </c:numCache>
            </c:numRef>
          </c:val>
          <c:extLst>
            <c:ext xmlns:c16="http://schemas.microsoft.com/office/drawing/2014/chart" uri="{C3380CC4-5D6E-409C-BE32-E72D297353CC}">
              <c16:uniqueId val="{00000003-D046-46BD-A2C7-82451804D0B6}"/>
            </c:ext>
          </c:extLst>
        </c:ser>
        <c:dLbls>
          <c:dLblPos val="ctr"/>
          <c:showLegendKey val="0"/>
          <c:showVal val="1"/>
          <c:showCatName val="0"/>
          <c:showSerName val="0"/>
          <c:showPercent val="0"/>
          <c:showBubbleSize val="0"/>
        </c:dLbls>
        <c:gapWidth val="150"/>
        <c:overlap val="100"/>
        <c:axId val="1418438256"/>
        <c:axId val="1005814656"/>
      </c:barChart>
      <c:catAx>
        <c:axId val="141843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5814656"/>
        <c:crosses val="autoZero"/>
        <c:auto val="1"/>
        <c:lblAlgn val="ctr"/>
        <c:lblOffset val="100"/>
        <c:noMultiLvlLbl val="0"/>
      </c:catAx>
      <c:valAx>
        <c:axId val="10058146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843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兴业存款结构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Sheet2!$P$6</c:f>
              <c:strCache>
                <c:ptCount val="1"/>
                <c:pt idx="0">
                  <c:v>兴业对公活期占比</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Sheet2!$Q$1:$U$1</c:f>
              <c:numCache>
                <c:formatCode>General</c:formatCode>
                <c:ptCount val="5"/>
                <c:pt idx="0">
                  <c:v>2016</c:v>
                </c:pt>
                <c:pt idx="1">
                  <c:v>2017</c:v>
                </c:pt>
                <c:pt idx="2">
                  <c:v>2018</c:v>
                </c:pt>
                <c:pt idx="3">
                  <c:v>2019</c:v>
                </c:pt>
                <c:pt idx="4">
                  <c:v>2020</c:v>
                </c:pt>
              </c:numCache>
            </c:numRef>
          </c:cat>
          <c:val>
            <c:numRef>
              <c:f>Sheet2!$Q$6:$U$6</c:f>
              <c:numCache>
                <c:formatCode>0.00%</c:formatCode>
                <c:ptCount val="5"/>
                <c:pt idx="0">
                  <c:v>0.35980000000000001</c:v>
                </c:pt>
                <c:pt idx="1">
                  <c:v>0.35099999999999998</c:v>
                </c:pt>
                <c:pt idx="2">
                  <c:v>0.30309999999999998</c:v>
                </c:pt>
                <c:pt idx="3">
                  <c:v>0.31309999999999999</c:v>
                </c:pt>
                <c:pt idx="4">
                  <c:v>0.31909999999999999</c:v>
                </c:pt>
              </c:numCache>
            </c:numRef>
          </c:val>
          <c:extLst>
            <c:ext xmlns:c16="http://schemas.microsoft.com/office/drawing/2014/chart" uri="{C3380CC4-5D6E-409C-BE32-E72D297353CC}">
              <c16:uniqueId val="{00000000-6BD5-4146-8319-2C160B397881}"/>
            </c:ext>
          </c:extLst>
        </c:ser>
        <c:ser>
          <c:idx val="1"/>
          <c:order val="1"/>
          <c:tx>
            <c:strRef>
              <c:f>Sheet2!$P$7</c:f>
              <c:strCache>
                <c:ptCount val="1"/>
                <c:pt idx="0">
                  <c:v>兴业对公定期占比</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Sheet2!$Q$1:$U$1</c:f>
              <c:numCache>
                <c:formatCode>General</c:formatCode>
                <c:ptCount val="5"/>
                <c:pt idx="0">
                  <c:v>2016</c:v>
                </c:pt>
                <c:pt idx="1">
                  <c:v>2017</c:v>
                </c:pt>
                <c:pt idx="2">
                  <c:v>2018</c:v>
                </c:pt>
                <c:pt idx="3">
                  <c:v>2019</c:v>
                </c:pt>
                <c:pt idx="4">
                  <c:v>2020</c:v>
                </c:pt>
              </c:numCache>
            </c:numRef>
          </c:cat>
          <c:val>
            <c:numRef>
              <c:f>Sheet2!$Q$7:$U$7</c:f>
              <c:numCache>
                <c:formatCode>0.00%</c:formatCode>
                <c:ptCount val="5"/>
                <c:pt idx="0">
                  <c:v>0.43669999999999998</c:v>
                </c:pt>
                <c:pt idx="1">
                  <c:v>0.44490000000000002</c:v>
                </c:pt>
                <c:pt idx="2">
                  <c:v>0.46679999999999999</c:v>
                </c:pt>
                <c:pt idx="3">
                  <c:v>0.43330000000000002</c:v>
                </c:pt>
                <c:pt idx="4">
                  <c:v>0.4234</c:v>
                </c:pt>
              </c:numCache>
            </c:numRef>
          </c:val>
          <c:extLst>
            <c:ext xmlns:c16="http://schemas.microsoft.com/office/drawing/2014/chart" uri="{C3380CC4-5D6E-409C-BE32-E72D297353CC}">
              <c16:uniqueId val="{00000001-6BD5-4146-8319-2C160B397881}"/>
            </c:ext>
          </c:extLst>
        </c:ser>
        <c:ser>
          <c:idx val="2"/>
          <c:order val="2"/>
          <c:tx>
            <c:strRef>
              <c:f>Sheet2!$P$8</c:f>
              <c:strCache>
                <c:ptCount val="1"/>
                <c:pt idx="0">
                  <c:v>兴业零售活期占比</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Sheet2!$Q$1:$U$1</c:f>
              <c:numCache>
                <c:formatCode>General</c:formatCode>
                <c:ptCount val="5"/>
                <c:pt idx="0">
                  <c:v>2016</c:v>
                </c:pt>
                <c:pt idx="1">
                  <c:v>2017</c:v>
                </c:pt>
                <c:pt idx="2">
                  <c:v>2018</c:v>
                </c:pt>
                <c:pt idx="3">
                  <c:v>2019</c:v>
                </c:pt>
                <c:pt idx="4">
                  <c:v>2020</c:v>
                </c:pt>
              </c:numCache>
            </c:numRef>
          </c:cat>
          <c:val>
            <c:numRef>
              <c:f>Sheet2!$Q$8:$U$8</c:f>
              <c:numCache>
                <c:formatCode>0.00%</c:formatCode>
                <c:ptCount val="5"/>
                <c:pt idx="0">
                  <c:v>7.9899999999999999E-2</c:v>
                </c:pt>
                <c:pt idx="1">
                  <c:v>7.3599999999999999E-2</c:v>
                </c:pt>
                <c:pt idx="2">
                  <c:v>7.6700000000000004E-2</c:v>
                </c:pt>
                <c:pt idx="3">
                  <c:v>7.6300000000000007E-2</c:v>
                </c:pt>
                <c:pt idx="4">
                  <c:v>8.0299999999999996E-2</c:v>
                </c:pt>
              </c:numCache>
            </c:numRef>
          </c:val>
          <c:extLst>
            <c:ext xmlns:c16="http://schemas.microsoft.com/office/drawing/2014/chart" uri="{C3380CC4-5D6E-409C-BE32-E72D297353CC}">
              <c16:uniqueId val="{00000002-6BD5-4146-8319-2C160B397881}"/>
            </c:ext>
          </c:extLst>
        </c:ser>
        <c:ser>
          <c:idx val="3"/>
          <c:order val="3"/>
          <c:tx>
            <c:strRef>
              <c:f>Sheet2!$P$9</c:f>
              <c:strCache>
                <c:ptCount val="1"/>
                <c:pt idx="0">
                  <c:v>兴业零售定期占比</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Sheet2!$Q$1:$U$1</c:f>
              <c:numCache>
                <c:formatCode>General</c:formatCode>
                <c:ptCount val="5"/>
                <c:pt idx="0">
                  <c:v>2016</c:v>
                </c:pt>
                <c:pt idx="1">
                  <c:v>2017</c:v>
                </c:pt>
                <c:pt idx="2">
                  <c:v>2018</c:v>
                </c:pt>
                <c:pt idx="3">
                  <c:v>2019</c:v>
                </c:pt>
                <c:pt idx="4">
                  <c:v>2020</c:v>
                </c:pt>
              </c:numCache>
            </c:numRef>
          </c:cat>
          <c:val>
            <c:numRef>
              <c:f>Sheet2!$Q$9:$U$9</c:f>
              <c:numCache>
                <c:formatCode>0.00%</c:formatCode>
                <c:ptCount val="5"/>
                <c:pt idx="0">
                  <c:v>5.0299999999999997E-2</c:v>
                </c:pt>
                <c:pt idx="1">
                  <c:v>6.2899999999999998E-2</c:v>
                </c:pt>
                <c:pt idx="2">
                  <c:v>8.2400000000000001E-2</c:v>
                </c:pt>
                <c:pt idx="3">
                  <c:v>9.9699999999999997E-2</c:v>
                </c:pt>
                <c:pt idx="4">
                  <c:v>9.9400000000000002E-2</c:v>
                </c:pt>
              </c:numCache>
            </c:numRef>
          </c:val>
          <c:extLst>
            <c:ext xmlns:c16="http://schemas.microsoft.com/office/drawing/2014/chart" uri="{C3380CC4-5D6E-409C-BE32-E72D297353CC}">
              <c16:uniqueId val="{00000003-6BD5-4146-8319-2C160B397881}"/>
            </c:ext>
          </c:extLst>
        </c:ser>
        <c:dLbls>
          <c:dLblPos val="ctr"/>
          <c:showLegendKey val="0"/>
          <c:showVal val="1"/>
          <c:showCatName val="0"/>
          <c:showSerName val="0"/>
          <c:showPercent val="0"/>
          <c:showBubbleSize val="0"/>
        </c:dLbls>
        <c:gapWidth val="150"/>
        <c:overlap val="100"/>
        <c:axId val="1470043472"/>
        <c:axId val="1475428048"/>
      </c:barChart>
      <c:catAx>
        <c:axId val="147004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5428048"/>
        <c:crosses val="autoZero"/>
        <c:auto val="1"/>
        <c:lblAlgn val="ctr"/>
        <c:lblOffset val="100"/>
        <c:noMultiLvlLbl val="0"/>
      </c:catAx>
      <c:valAx>
        <c:axId val="14754280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004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招行兴业零售活期成本率对比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Sheet2!$A$13</c:f>
              <c:strCache>
                <c:ptCount val="1"/>
                <c:pt idx="0">
                  <c:v>招行零售活期成本率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Sheet2!$B$13:$F$13</c:f>
              <c:numCache>
                <c:formatCode>0.00%</c:formatCode>
                <c:ptCount val="5"/>
                <c:pt idx="0">
                  <c:v>3.7000000000000002E-3</c:v>
                </c:pt>
                <c:pt idx="1">
                  <c:v>3.7000000000000002E-3</c:v>
                </c:pt>
                <c:pt idx="2">
                  <c:v>3.3E-3</c:v>
                </c:pt>
                <c:pt idx="3">
                  <c:v>3.7000000000000002E-3</c:v>
                </c:pt>
                <c:pt idx="4">
                  <c:v>3.4999999999999996E-3</c:v>
                </c:pt>
              </c:numCache>
            </c:numRef>
          </c:val>
          <c:smooth val="0"/>
          <c:extLst>
            <c:ext xmlns:c16="http://schemas.microsoft.com/office/drawing/2014/chart" uri="{C3380CC4-5D6E-409C-BE32-E72D297353CC}">
              <c16:uniqueId val="{00000000-46A8-4BAD-BC3A-F0A8B5DAEDA1}"/>
            </c:ext>
          </c:extLst>
        </c:ser>
        <c:ser>
          <c:idx val="1"/>
          <c:order val="1"/>
          <c:tx>
            <c:strRef>
              <c:f>Sheet2!$A$14</c:f>
              <c:strCache>
                <c:ptCount val="1"/>
                <c:pt idx="0">
                  <c:v>兴业零售活期成本率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Sheet2!$B$14:$F$14</c:f>
              <c:numCache>
                <c:formatCode>0.00%</c:formatCode>
                <c:ptCount val="5"/>
                <c:pt idx="0">
                  <c:v>3.0000000000000001E-3</c:v>
                </c:pt>
                <c:pt idx="1">
                  <c:v>3.0000000000000001E-3</c:v>
                </c:pt>
                <c:pt idx="2">
                  <c:v>3.0000000000000001E-3</c:v>
                </c:pt>
                <c:pt idx="3">
                  <c:v>3.0999999999999999E-3</c:v>
                </c:pt>
                <c:pt idx="4">
                  <c:v>3.0000000000000001E-3</c:v>
                </c:pt>
              </c:numCache>
            </c:numRef>
          </c:val>
          <c:smooth val="0"/>
          <c:extLst>
            <c:ext xmlns:c16="http://schemas.microsoft.com/office/drawing/2014/chart" uri="{C3380CC4-5D6E-409C-BE32-E72D297353CC}">
              <c16:uniqueId val="{00000001-46A8-4BAD-BC3A-F0A8B5DAEDA1}"/>
            </c:ext>
          </c:extLst>
        </c:ser>
        <c:dLbls>
          <c:dLblPos val="t"/>
          <c:showLegendKey val="0"/>
          <c:showVal val="1"/>
          <c:showCatName val="0"/>
          <c:showSerName val="0"/>
          <c:showPercent val="0"/>
          <c:showBubbleSize val="0"/>
        </c:dLbls>
        <c:marker val="1"/>
        <c:smooth val="0"/>
        <c:axId val="1419641632"/>
        <c:axId val="776756288"/>
      </c:lineChart>
      <c:catAx>
        <c:axId val="141964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756288"/>
        <c:crosses val="autoZero"/>
        <c:auto val="1"/>
        <c:lblAlgn val="ctr"/>
        <c:lblOffset val="100"/>
        <c:noMultiLvlLbl val="0"/>
      </c:catAx>
      <c:valAx>
        <c:axId val="776756288"/>
        <c:scaling>
          <c:orientation val="minMax"/>
          <c:min val="2.8000000000000008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零售活期成本率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964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招行兴业对公活期成本率对比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0"/>
          <c:tx>
            <c:strRef>
              <c:f>Sheet2!$I$13</c:f>
              <c:strCache>
                <c:ptCount val="1"/>
                <c:pt idx="0">
                  <c:v>招行对公活期成本率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Sheet2!$J$1:$N$1</c:f>
              <c:numCache>
                <c:formatCode>General</c:formatCode>
                <c:ptCount val="5"/>
                <c:pt idx="0">
                  <c:v>2016</c:v>
                </c:pt>
                <c:pt idx="1">
                  <c:v>2017</c:v>
                </c:pt>
                <c:pt idx="2">
                  <c:v>2018</c:v>
                </c:pt>
                <c:pt idx="3">
                  <c:v>2019</c:v>
                </c:pt>
                <c:pt idx="4">
                  <c:v>2020</c:v>
                </c:pt>
              </c:numCache>
            </c:numRef>
          </c:cat>
          <c:val>
            <c:numRef>
              <c:f>Sheet2!$J$13:$N$13</c:f>
              <c:numCache>
                <c:formatCode>0.00%</c:formatCode>
                <c:ptCount val="5"/>
                <c:pt idx="0">
                  <c:v>6.6E-3</c:v>
                </c:pt>
                <c:pt idx="1">
                  <c:v>7.3000000000000001E-3</c:v>
                </c:pt>
                <c:pt idx="2">
                  <c:v>8.1000000000000013E-3</c:v>
                </c:pt>
                <c:pt idx="3">
                  <c:v>8.199999999999999E-3</c:v>
                </c:pt>
                <c:pt idx="4">
                  <c:v>8.6999999999999994E-3</c:v>
                </c:pt>
              </c:numCache>
            </c:numRef>
          </c:val>
          <c:smooth val="0"/>
          <c:extLst>
            <c:ext xmlns:c16="http://schemas.microsoft.com/office/drawing/2014/chart" uri="{C3380CC4-5D6E-409C-BE32-E72D297353CC}">
              <c16:uniqueId val="{00000000-2AAE-4F0F-A532-CD35A808C703}"/>
            </c:ext>
          </c:extLst>
        </c:ser>
        <c:ser>
          <c:idx val="2"/>
          <c:order val="1"/>
          <c:tx>
            <c:strRef>
              <c:f>Sheet2!$I$14</c:f>
              <c:strCache>
                <c:ptCount val="1"/>
                <c:pt idx="0">
                  <c:v>兴业对公活期成本率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Sheet2!$J$1:$N$1</c:f>
              <c:numCache>
                <c:formatCode>General</c:formatCode>
                <c:ptCount val="5"/>
                <c:pt idx="0">
                  <c:v>2016</c:v>
                </c:pt>
                <c:pt idx="1">
                  <c:v>2017</c:v>
                </c:pt>
                <c:pt idx="2">
                  <c:v>2018</c:v>
                </c:pt>
                <c:pt idx="3">
                  <c:v>2019</c:v>
                </c:pt>
                <c:pt idx="4">
                  <c:v>2020</c:v>
                </c:pt>
              </c:numCache>
            </c:numRef>
          </c:cat>
          <c:val>
            <c:numRef>
              <c:f>Sheet2!$J$14:$N$14</c:f>
              <c:numCache>
                <c:formatCode>0.00%</c:formatCode>
                <c:ptCount val="5"/>
                <c:pt idx="0">
                  <c:v>6.3E-3</c:v>
                </c:pt>
                <c:pt idx="1">
                  <c:v>6.8000000000000005E-3</c:v>
                </c:pt>
                <c:pt idx="2">
                  <c:v>7.4999999999999997E-3</c:v>
                </c:pt>
                <c:pt idx="3">
                  <c:v>9.4999999999999998E-3</c:v>
                </c:pt>
                <c:pt idx="4">
                  <c:v>9.7999999999999997E-3</c:v>
                </c:pt>
              </c:numCache>
            </c:numRef>
          </c:val>
          <c:smooth val="0"/>
          <c:extLst>
            <c:ext xmlns:c16="http://schemas.microsoft.com/office/drawing/2014/chart" uri="{C3380CC4-5D6E-409C-BE32-E72D297353CC}">
              <c16:uniqueId val="{00000001-2AAE-4F0F-A532-CD35A808C703}"/>
            </c:ext>
          </c:extLst>
        </c:ser>
        <c:dLbls>
          <c:dLblPos val="t"/>
          <c:showLegendKey val="0"/>
          <c:showVal val="1"/>
          <c:showCatName val="0"/>
          <c:showSerName val="0"/>
          <c:showPercent val="0"/>
          <c:showBubbleSize val="0"/>
        </c:dLbls>
        <c:marker val="1"/>
        <c:smooth val="0"/>
        <c:axId val="1419641632"/>
        <c:axId val="776756288"/>
      </c:lineChart>
      <c:catAx>
        <c:axId val="141964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756288"/>
        <c:crosses val="autoZero"/>
        <c:auto val="1"/>
        <c:lblAlgn val="ctr"/>
        <c:lblOffset val="100"/>
        <c:noMultiLvlLbl val="0"/>
      </c:catAx>
      <c:valAx>
        <c:axId val="776756288"/>
        <c:scaling>
          <c:orientation val="minMax"/>
          <c:min val="2.8000000000000008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对公活期成本率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964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主流上市银行风险加权资产净额</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万得!$B$81</c:f>
              <c:strCache>
                <c:ptCount val="1"/>
                <c:pt idx="0">
                  <c:v>工商银行</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万得!$C$81:$J$81</c:f>
              <c:numCache>
                <c:formatCode>#,##0_ </c:formatCode>
                <c:ptCount val="8"/>
                <c:pt idx="0">
                  <c:v>119821.87</c:v>
                </c:pt>
                <c:pt idx="1">
                  <c:v>124759.39</c:v>
                </c:pt>
                <c:pt idx="2">
                  <c:v>132166.87</c:v>
                </c:pt>
                <c:pt idx="3">
                  <c:v>145646.17000000001</c:v>
                </c:pt>
                <c:pt idx="4">
                  <c:v>159028.01</c:v>
                </c:pt>
                <c:pt idx="5">
                  <c:v>171909.92</c:v>
                </c:pt>
                <c:pt idx="6">
                  <c:v>186168.86</c:v>
                </c:pt>
                <c:pt idx="7">
                  <c:v>201241.39</c:v>
                </c:pt>
              </c:numCache>
            </c:numRef>
          </c:val>
          <c:smooth val="0"/>
          <c:extLst>
            <c:ext xmlns:c16="http://schemas.microsoft.com/office/drawing/2014/chart" uri="{C3380CC4-5D6E-409C-BE32-E72D297353CC}">
              <c16:uniqueId val="{00000000-52A4-407E-B473-1DB6DEF1C3F4}"/>
            </c:ext>
          </c:extLst>
        </c:ser>
        <c:ser>
          <c:idx val="1"/>
          <c:order val="1"/>
          <c:tx>
            <c:strRef>
              <c:f>万得!$B$82</c:f>
              <c:strCache>
                <c:ptCount val="1"/>
                <c:pt idx="0">
                  <c:v>农业银行</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万得!$C$82:$J$82</c:f>
              <c:numCache>
                <c:formatCode>#,##0_ </c:formatCode>
                <c:ptCount val="8"/>
                <c:pt idx="0">
                  <c:v>90656.31</c:v>
                </c:pt>
                <c:pt idx="1">
                  <c:v>108526.19</c:v>
                </c:pt>
                <c:pt idx="2">
                  <c:v>109863.02</c:v>
                </c:pt>
                <c:pt idx="3">
                  <c:v>118565.3</c:v>
                </c:pt>
                <c:pt idx="4">
                  <c:v>126055.77</c:v>
                </c:pt>
                <c:pt idx="5">
                  <c:v>137128.94</c:v>
                </c:pt>
                <c:pt idx="6">
                  <c:v>154853.51999999999</c:v>
                </c:pt>
                <c:pt idx="7">
                  <c:v>169896.68</c:v>
                </c:pt>
              </c:numCache>
            </c:numRef>
          </c:val>
          <c:smooth val="0"/>
          <c:extLst>
            <c:ext xmlns:c16="http://schemas.microsoft.com/office/drawing/2014/chart" uri="{C3380CC4-5D6E-409C-BE32-E72D297353CC}">
              <c16:uniqueId val="{00000001-52A4-407E-B473-1DB6DEF1C3F4}"/>
            </c:ext>
          </c:extLst>
        </c:ser>
        <c:ser>
          <c:idx val="2"/>
          <c:order val="2"/>
          <c:tx>
            <c:strRef>
              <c:f>万得!$B$83</c:f>
              <c:strCache>
                <c:ptCount val="1"/>
                <c:pt idx="0">
                  <c:v>建设银行</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万得!$C$83:$J$83</c:f>
              <c:numCache>
                <c:formatCode>#,##0_ </c:formatCode>
                <c:ptCount val="8"/>
                <c:pt idx="0">
                  <c:v>98727.9</c:v>
                </c:pt>
                <c:pt idx="1">
                  <c:v>102036.43</c:v>
                </c:pt>
                <c:pt idx="2">
                  <c:v>107220.82</c:v>
                </c:pt>
                <c:pt idx="3">
                  <c:v>119377.74</c:v>
                </c:pt>
                <c:pt idx="4">
                  <c:v>129199.8</c:v>
                </c:pt>
                <c:pt idx="5">
                  <c:v>136594.97</c:v>
                </c:pt>
                <c:pt idx="6">
                  <c:v>150532.91</c:v>
                </c:pt>
                <c:pt idx="7">
                  <c:v>166045.91</c:v>
                </c:pt>
              </c:numCache>
            </c:numRef>
          </c:val>
          <c:smooth val="0"/>
          <c:extLst>
            <c:ext xmlns:c16="http://schemas.microsoft.com/office/drawing/2014/chart" uri="{C3380CC4-5D6E-409C-BE32-E72D297353CC}">
              <c16:uniqueId val="{00000002-52A4-407E-B473-1DB6DEF1C3F4}"/>
            </c:ext>
          </c:extLst>
        </c:ser>
        <c:ser>
          <c:idx val="3"/>
          <c:order val="3"/>
          <c:tx>
            <c:strRef>
              <c:f>万得!$B$84</c:f>
              <c:strCache>
                <c:ptCount val="1"/>
                <c:pt idx="0">
                  <c:v>中国银行</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万得!$C$84:$J$84</c:f>
              <c:numCache>
                <c:formatCode>#,##0_ </c:formatCode>
                <c:ptCount val="8"/>
                <c:pt idx="0">
                  <c:v>94187.26</c:v>
                </c:pt>
                <c:pt idx="1">
                  <c:v>99341.05</c:v>
                </c:pt>
                <c:pt idx="2">
                  <c:v>106540.81</c:v>
                </c:pt>
                <c:pt idx="3">
                  <c:v>112695.92</c:v>
                </c:pt>
                <c:pt idx="4">
                  <c:v>121577.71</c:v>
                </c:pt>
                <c:pt idx="5">
                  <c:v>128415.26</c:v>
                </c:pt>
                <c:pt idx="6">
                  <c:v>141239.15</c:v>
                </c:pt>
                <c:pt idx="7">
                  <c:v>151090.85</c:v>
                </c:pt>
              </c:numCache>
            </c:numRef>
          </c:val>
          <c:smooth val="0"/>
          <c:extLst>
            <c:ext xmlns:c16="http://schemas.microsoft.com/office/drawing/2014/chart" uri="{C3380CC4-5D6E-409C-BE32-E72D297353CC}">
              <c16:uniqueId val="{00000003-52A4-407E-B473-1DB6DEF1C3F4}"/>
            </c:ext>
          </c:extLst>
        </c:ser>
        <c:ser>
          <c:idx val="4"/>
          <c:order val="4"/>
          <c:tx>
            <c:strRef>
              <c:f>万得!$B$85</c:f>
              <c:strCache>
                <c:ptCount val="1"/>
                <c:pt idx="0">
                  <c:v>交通银行</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万得!$C$85:$J$85</c:f>
              <c:numCache>
                <c:formatCode>#,##0_ </c:formatCode>
                <c:ptCount val="8"/>
                <c:pt idx="0">
                  <c:v>42740.68</c:v>
                </c:pt>
                <c:pt idx="1">
                  <c:v>41644.769999999997</c:v>
                </c:pt>
                <c:pt idx="2">
                  <c:v>46537.23</c:v>
                </c:pt>
                <c:pt idx="3">
                  <c:v>51632.5</c:v>
                </c:pt>
                <c:pt idx="4">
                  <c:v>56463.13</c:v>
                </c:pt>
                <c:pt idx="5">
                  <c:v>56905.42</c:v>
                </c:pt>
                <c:pt idx="6">
                  <c:v>61444.59</c:v>
                </c:pt>
                <c:pt idx="7">
                  <c:v>66954.62</c:v>
                </c:pt>
              </c:numCache>
            </c:numRef>
          </c:val>
          <c:smooth val="0"/>
          <c:extLst>
            <c:ext xmlns:c16="http://schemas.microsoft.com/office/drawing/2014/chart" uri="{C3380CC4-5D6E-409C-BE32-E72D297353CC}">
              <c16:uniqueId val="{00000004-52A4-407E-B473-1DB6DEF1C3F4}"/>
            </c:ext>
          </c:extLst>
        </c:ser>
        <c:ser>
          <c:idx val="5"/>
          <c:order val="5"/>
          <c:tx>
            <c:strRef>
              <c:f>万得!$B$86</c:f>
              <c:strCache>
                <c:ptCount val="1"/>
                <c:pt idx="0">
                  <c:v>邮储银行</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万得!$C$86:$J$86</c:f>
              <c:numCache>
                <c:formatCode>#,##0_ </c:formatCode>
                <c:ptCount val="8"/>
                <c:pt idx="0">
                  <c:v>18161.684399999998</c:v>
                </c:pt>
                <c:pt idx="1">
                  <c:v>22148.48</c:v>
                </c:pt>
                <c:pt idx="2">
                  <c:v>31530.15</c:v>
                </c:pt>
                <c:pt idx="3">
                  <c:v>39959.08</c:v>
                </c:pt>
                <c:pt idx="4">
                  <c:v>44404.97</c:v>
                </c:pt>
                <c:pt idx="5">
                  <c:v>43162.19</c:v>
                </c:pt>
                <c:pt idx="6">
                  <c:v>49696.58</c:v>
                </c:pt>
                <c:pt idx="7">
                  <c:v>56514.39</c:v>
                </c:pt>
              </c:numCache>
            </c:numRef>
          </c:val>
          <c:smooth val="0"/>
          <c:extLst>
            <c:ext xmlns:c16="http://schemas.microsoft.com/office/drawing/2014/chart" uri="{C3380CC4-5D6E-409C-BE32-E72D297353CC}">
              <c16:uniqueId val="{00000005-52A4-407E-B473-1DB6DEF1C3F4}"/>
            </c:ext>
          </c:extLst>
        </c:ser>
        <c:ser>
          <c:idx val="6"/>
          <c:order val="6"/>
          <c:tx>
            <c:strRef>
              <c:f>万得!$B$87</c:f>
              <c:strCache>
                <c:ptCount val="1"/>
                <c:pt idx="0">
                  <c:v>民生银行</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万得!$C$87:$J$87</c:f>
              <c:numCache>
                <c:formatCode>#,##0_ </c:formatCode>
                <c:ptCount val="8"/>
                <c:pt idx="0">
                  <c:v>23251.05</c:v>
                </c:pt>
                <c:pt idx="1">
                  <c:v>28627.1</c:v>
                </c:pt>
                <c:pt idx="2">
                  <c:v>33462.32</c:v>
                </c:pt>
                <c:pt idx="3">
                  <c:v>37860.730000000003</c:v>
                </c:pt>
                <c:pt idx="4">
                  <c:v>43402.62</c:v>
                </c:pt>
                <c:pt idx="5">
                  <c:v>46562.86</c:v>
                </c:pt>
                <c:pt idx="6">
                  <c:v>51170.26</c:v>
                </c:pt>
                <c:pt idx="7">
                  <c:v>54258.559999999998</c:v>
                </c:pt>
              </c:numCache>
            </c:numRef>
          </c:val>
          <c:smooth val="0"/>
          <c:extLst>
            <c:ext xmlns:c16="http://schemas.microsoft.com/office/drawing/2014/chart" uri="{C3380CC4-5D6E-409C-BE32-E72D297353CC}">
              <c16:uniqueId val="{00000006-52A4-407E-B473-1DB6DEF1C3F4}"/>
            </c:ext>
          </c:extLst>
        </c:ser>
        <c:ser>
          <c:idx val="7"/>
          <c:order val="7"/>
          <c:tx>
            <c:strRef>
              <c:f>万得!$B$88</c:f>
              <c:strCache>
                <c:ptCount val="1"/>
                <c:pt idx="0">
                  <c:v>平安银行</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万得!$C$88:$J$88</c:f>
              <c:numCache>
                <c:formatCode>#,##0_ </c:formatCode>
                <c:ptCount val="8"/>
                <c:pt idx="0">
                  <c:v>11704.12</c:v>
                </c:pt>
                <c:pt idx="1">
                  <c:v>13804.32</c:v>
                </c:pt>
                <c:pt idx="2">
                  <c:v>16617.47</c:v>
                </c:pt>
                <c:pt idx="3">
                  <c:v>20337.150000000001</c:v>
                </c:pt>
                <c:pt idx="4">
                  <c:v>22261.119999999999</c:v>
                </c:pt>
                <c:pt idx="5">
                  <c:v>23402.36</c:v>
                </c:pt>
                <c:pt idx="6">
                  <c:v>27844.05</c:v>
                </c:pt>
                <c:pt idx="7">
                  <c:v>31517.64</c:v>
                </c:pt>
              </c:numCache>
            </c:numRef>
          </c:val>
          <c:smooth val="0"/>
          <c:extLst>
            <c:ext xmlns:c16="http://schemas.microsoft.com/office/drawing/2014/chart" uri="{C3380CC4-5D6E-409C-BE32-E72D297353CC}">
              <c16:uniqueId val="{00000007-52A4-407E-B473-1DB6DEF1C3F4}"/>
            </c:ext>
          </c:extLst>
        </c:ser>
        <c:ser>
          <c:idx val="8"/>
          <c:order val="8"/>
          <c:tx>
            <c:strRef>
              <c:f>万得!$B$89</c:f>
              <c:strCache>
                <c:ptCount val="1"/>
                <c:pt idx="0">
                  <c:v>招商银行</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万得!$C$89:$J$89</c:f>
              <c:numCache>
                <c:formatCode>#,##0_ </c:formatCode>
                <c:ptCount val="8"/>
                <c:pt idx="0">
                  <c:v>27449.91</c:v>
                </c:pt>
                <c:pt idx="1">
                  <c:v>28937.32</c:v>
                </c:pt>
                <c:pt idx="2">
                  <c:v>32081.52</c:v>
                </c:pt>
                <c:pt idx="3">
                  <c:v>33689.9</c:v>
                </c:pt>
                <c:pt idx="4">
                  <c:v>35307.449999999997</c:v>
                </c:pt>
                <c:pt idx="5">
                  <c:v>40928.9</c:v>
                </c:pt>
                <c:pt idx="6">
                  <c:v>46067.86</c:v>
                </c:pt>
                <c:pt idx="7">
                  <c:v>49645.42</c:v>
                </c:pt>
              </c:numCache>
            </c:numRef>
          </c:val>
          <c:smooth val="0"/>
          <c:extLst>
            <c:ext xmlns:c16="http://schemas.microsoft.com/office/drawing/2014/chart" uri="{C3380CC4-5D6E-409C-BE32-E72D297353CC}">
              <c16:uniqueId val="{00000008-52A4-407E-B473-1DB6DEF1C3F4}"/>
            </c:ext>
          </c:extLst>
        </c:ser>
        <c:ser>
          <c:idx val="9"/>
          <c:order val="9"/>
          <c:tx>
            <c:strRef>
              <c:f>万得!$B$90</c:f>
              <c:strCache>
                <c:ptCount val="1"/>
                <c:pt idx="0">
                  <c:v>浦发银行</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万得!$C$90:$J$90</c:f>
              <c:numCache>
                <c:formatCode>#,##0_ </c:formatCode>
                <c:ptCount val="8"/>
                <c:pt idx="0">
                  <c:v>24145.93</c:v>
                </c:pt>
                <c:pt idx="1">
                  <c:v>28688.97</c:v>
                </c:pt>
                <c:pt idx="2">
                  <c:v>33678.339999999997</c:v>
                </c:pt>
                <c:pt idx="3">
                  <c:v>38787.4</c:v>
                </c:pt>
                <c:pt idx="4">
                  <c:v>40844.99</c:v>
                </c:pt>
                <c:pt idx="5">
                  <c:v>43118.86</c:v>
                </c:pt>
                <c:pt idx="6">
                  <c:v>47313.54</c:v>
                </c:pt>
                <c:pt idx="7">
                  <c:v>54585.04</c:v>
                </c:pt>
              </c:numCache>
            </c:numRef>
          </c:val>
          <c:smooth val="0"/>
          <c:extLst>
            <c:ext xmlns:c16="http://schemas.microsoft.com/office/drawing/2014/chart" uri="{C3380CC4-5D6E-409C-BE32-E72D297353CC}">
              <c16:uniqueId val="{00000009-52A4-407E-B473-1DB6DEF1C3F4}"/>
            </c:ext>
          </c:extLst>
        </c:ser>
        <c:ser>
          <c:idx val="10"/>
          <c:order val="10"/>
          <c:tx>
            <c:strRef>
              <c:f>万得!$B$91</c:f>
              <c:strCache>
                <c:ptCount val="1"/>
                <c:pt idx="0">
                  <c:v>光大银行</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万得!$C$91:$J$91</c:f>
              <c:numCache>
                <c:formatCode>#,##0_ </c:formatCode>
                <c:ptCount val="8"/>
                <c:pt idx="0">
                  <c:v>16588.61</c:v>
                </c:pt>
                <c:pt idx="1">
                  <c:v>18982.310000000001</c:v>
                </c:pt>
                <c:pt idx="2">
                  <c:v>21855.16</c:v>
                </c:pt>
                <c:pt idx="3">
                  <c:v>26650.37</c:v>
                </c:pt>
                <c:pt idx="4">
                  <c:v>28568</c:v>
                </c:pt>
                <c:pt idx="5">
                  <c:v>31666.68</c:v>
                </c:pt>
                <c:pt idx="6">
                  <c:v>34560.54</c:v>
                </c:pt>
                <c:pt idx="7">
                  <c:v>38374.89</c:v>
                </c:pt>
              </c:numCache>
            </c:numRef>
          </c:val>
          <c:smooth val="0"/>
          <c:extLst>
            <c:ext xmlns:c16="http://schemas.microsoft.com/office/drawing/2014/chart" uri="{C3380CC4-5D6E-409C-BE32-E72D297353CC}">
              <c16:uniqueId val="{0000000A-52A4-407E-B473-1DB6DEF1C3F4}"/>
            </c:ext>
          </c:extLst>
        </c:ser>
        <c:ser>
          <c:idx val="11"/>
          <c:order val="11"/>
          <c:tx>
            <c:strRef>
              <c:f>万得!$B$92</c:f>
              <c:strCache>
                <c:ptCount val="1"/>
                <c:pt idx="0">
                  <c:v>广发银行</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万得!$C$92:$J$92</c:f>
              <c:numCache>
                <c:formatCode>#,##0_ </c:formatCode>
                <c:ptCount val="8"/>
                <c:pt idx="0">
                  <c:v>9651.9267999999993</c:v>
                </c:pt>
                <c:pt idx="1">
                  <c:v>10634.797500000001</c:v>
                </c:pt>
                <c:pt idx="2">
                  <c:v>11990.198700000001</c:v>
                </c:pt>
                <c:pt idx="3">
                  <c:v>13426.562599999999</c:v>
                </c:pt>
                <c:pt idx="4">
                  <c:v>13991.397499999999</c:v>
                </c:pt>
                <c:pt idx="5">
                  <c:v>16660.6414</c:v>
                </c:pt>
                <c:pt idx="6">
                  <c:v>19508.276699999999</c:v>
                </c:pt>
                <c:pt idx="7">
                  <c:v>21928.604599999999</c:v>
                </c:pt>
              </c:numCache>
            </c:numRef>
          </c:val>
          <c:smooth val="0"/>
          <c:extLst>
            <c:ext xmlns:c16="http://schemas.microsoft.com/office/drawing/2014/chart" uri="{C3380CC4-5D6E-409C-BE32-E72D297353CC}">
              <c16:uniqueId val="{0000000B-52A4-407E-B473-1DB6DEF1C3F4}"/>
            </c:ext>
          </c:extLst>
        </c:ser>
        <c:ser>
          <c:idx val="12"/>
          <c:order val="12"/>
          <c:tx>
            <c:strRef>
              <c:f>万得!$B$93</c:f>
              <c:strCache>
                <c:ptCount val="1"/>
                <c:pt idx="0">
                  <c:v>华夏银行</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万得!$C$93:$J$93</c:f>
              <c:numCache>
                <c:formatCode>#,##0_ </c:formatCode>
                <c:ptCount val="8"/>
                <c:pt idx="0">
                  <c:v>10694.56</c:v>
                </c:pt>
                <c:pt idx="1">
                  <c:v>12011.01</c:v>
                </c:pt>
                <c:pt idx="2">
                  <c:v>13303.91</c:v>
                </c:pt>
                <c:pt idx="3">
                  <c:v>15757.51</c:v>
                </c:pt>
                <c:pt idx="4">
                  <c:v>18028.259999999998</c:v>
                </c:pt>
                <c:pt idx="5">
                  <c:v>20923.5</c:v>
                </c:pt>
                <c:pt idx="6">
                  <c:v>22609.86</c:v>
                </c:pt>
                <c:pt idx="7">
                  <c:v>25291.32</c:v>
                </c:pt>
              </c:numCache>
            </c:numRef>
          </c:val>
          <c:smooth val="0"/>
          <c:extLst>
            <c:ext xmlns:c16="http://schemas.microsoft.com/office/drawing/2014/chart" uri="{C3380CC4-5D6E-409C-BE32-E72D297353CC}">
              <c16:uniqueId val="{0000000C-52A4-407E-B473-1DB6DEF1C3F4}"/>
            </c:ext>
          </c:extLst>
        </c:ser>
        <c:ser>
          <c:idx val="13"/>
          <c:order val="13"/>
          <c:tx>
            <c:strRef>
              <c:f>万得!$B$94</c:f>
              <c:strCache>
                <c:ptCount val="1"/>
                <c:pt idx="0">
                  <c:v>兴业银行</c:v>
                </c:pt>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万得!$C$94:$J$94</c:f>
              <c:numCache>
                <c:formatCode>#,##0_ </c:formatCode>
                <c:ptCount val="8"/>
                <c:pt idx="0">
                  <c:v>23104.71</c:v>
                </c:pt>
                <c:pt idx="1">
                  <c:v>29111.25</c:v>
                </c:pt>
                <c:pt idx="2">
                  <c:v>34276.49</c:v>
                </c:pt>
                <c:pt idx="3">
                  <c:v>38027.339999999997</c:v>
                </c:pt>
                <c:pt idx="4">
                  <c:v>43172.63</c:v>
                </c:pt>
                <c:pt idx="5">
                  <c:v>47343.15</c:v>
                </c:pt>
                <c:pt idx="6">
                  <c:v>51233.62</c:v>
                </c:pt>
                <c:pt idx="7">
                  <c:v>56637.56</c:v>
                </c:pt>
              </c:numCache>
            </c:numRef>
          </c:val>
          <c:smooth val="0"/>
          <c:extLst>
            <c:ext xmlns:c16="http://schemas.microsoft.com/office/drawing/2014/chart" uri="{C3380CC4-5D6E-409C-BE32-E72D297353CC}">
              <c16:uniqueId val="{0000000D-52A4-407E-B473-1DB6DEF1C3F4}"/>
            </c:ext>
          </c:extLst>
        </c:ser>
        <c:ser>
          <c:idx val="14"/>
          <c:order val="14"/>
          <c:tx>
            <c:strRef>
              <c:f>万得!$B$95</c:f>
              <c:strCache>
                <c:ptCount val="1"/>
                <c:pt idx="0">
                  <c:v>中信银行</c:v>
                </c:pt>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numRef>
              <c:f>万得!$C$18:$J$18</c:f>
              <c:numCache>
                <c:formatCode>#,##0_ </c:formatCode>
                <c:ptCount val="8"/>
                <c:pt idx="0">
                  <c:v>2013</c:v>
                </c:pt>
                <c:pt idx="1">
                  <c:v>2014</c:v>
                </c:pt>
                <c:pt idx="2">
                  <c:v>2015</c:v>
                </c:pt>
                <c:pt idx="3">
                  <c:v>2016</c:v>
                </c:pt>
                <c:pt idx="4">
                  <c:v>2017</c:v>
                </c:pt>
                <c:pt idx="5">
                  <c:v>2018</c:v>
                </c:pt>
                <c:pt idx="6">
                  <c:v>2019</c:v>
                </c:pt>
                <c:pt idx="7">
                  <c:v>2020</c:v>
                </c:pt>
              </c:numCache>
            </c:numRef>
          </c:cat>
          <c:val>
            <c:numRef>
              <c:f>万得!$C$95:$J$95</c:f>
              <c:numCache>
                <c:formatCode>#,##0_ </c:formatCode>
                <c:ptCount val="8"/>
                <c:pt idx="0">
                  <c:v>26004.94</c:v>
                </c:pt>
                <c:pt idx="1">
                  <c:v>29416.27</c:v>
                </c:pt>
                <c:pt idx="2">
                  <c:v>34681.35</c:v>
                </c:pt>
                <c:pt idx="3">
                  <c:v>39644.480000000003</c:v>
                </c:pt>
                <c:pt idx="4">
                  <c:v>43175.02</c:v>
                </c:pt>
                <c:pt idx="5">
                  <c:v>46777.13</c:v>
                </c:pt>
                <c:pt idx="6">
                  <c:v>51135.85</c:v>
                </c:pt>
                <c:pt idx="7">
                  <c:v>53932.480000000003</c:v>
                </c:pt>
              </c:numCache>
            </c:numRef>
          </c:val>
          <c:smooth val="0"/>
          <c:extLst>
            <c:ext xmlns:c16="http://schemas.microsoft.com/office/drawing/2014/chart" uri="{C3380CC4-5D6E-409C-BE32-E72D297353CC}">
              <c16:uniqueId val="{0000000E-52A4-407E-B473-1DB6DEF1C3F4}"/>
            </c:ext>
          </c:extLst>
        </c:ser>
        <c:dLbls>
          <c:showLegendKey val="0"/>
          <c:showVal val="0"/>
          <c:showCatName val="0"/>
          <c:showSerName val="0"/>
          <c:showPercent val="0"/>
          <c:showBubbleSize val="0"/>
        </c:dLbls>
        <c:marker val="1"/>
        <c:smooth val="0"/>
        <c:axId val="1588197200"/>
        <c:axId val="1686709760"/>
      </c:lineChart>
      <c:catAx>
        <c:axId val="158819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6709760"/>
        <c:crosses val="autoZero"/>
        <c:auto val="1"/>
        <c:lblAlgn val="ctr"/>
        <c:lblOffset val="100"/>
        <c:noMultiLvlLbl val="0"/>
      </c:catAx>
      <c:valAx>
        <c:axId val="168670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风险加权资产（亿元）</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out"/>
        <c:minorTickMark val="out"/>
        <c:tickLblPos val="nextTo"/>
        <c:spPr>
          <a:solidFill>
            <a:schemeClr val="bg1"/>
          </a:solid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8197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招行兴业零售定期成本率对比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Sheet2!$A$11</c:f>
              <c:strCache>
                <c:ptCount val="1"/>
                <c:pt idx="0">
                  <c:v>招行零售定期成本率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Sheet2!$B$11:$F$11</c:f>
              <c:numCache>
                <c:formatCode>0.00%</c:formatCode>
                <c:ptCount val="5"/>
                <c:pt idx="0">
                  <c:v>2.2599999999999999E-2</c:v>
                </c:pt>
                <c:pt idx="1">
                  <c:v>2.06E-2</c:v>
                </c:pt>
                <c:pt idx="2">
                  <c:v>2.69E-2</c:v>
                </c:pt>
                <c:pt idx="3">
                  <c:v>2.9600000000000001E-2</c:v>
                </c:pt>
                <c:pt idx="4">
                  <c:v>2.92E-2</c:v>
                </c:pt>
              </c:numCache>
            </c:numRef>
          </c:val>
          <c:smooth val="0"/>
          <c:extLst>
            <c:ext xmlns:c16="http://schemas.microsoft.com/office/drawing/2014/chart" uri="{C3380CC4-5D6E-409C-BE32-E72D297353CC}">
              <c16:uniqueId val="{00000000-5155-4BFC-AA1B-D9653983FCBB}"/>
            </c:ext>
          </c:extLst>
        </c:ser>
        <c:ser>
          <c:idx val="1"/>
          <c:order val="1"/>
          <c:tx>
            <c:strRef>
              <c:f>Sheet2!$A$12</c:f>
              <c:strCache>
                <c:ptCount val="1"/>
                <c:pt idx="0">
                  <c:v>兴业零售定期成本率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2016</c:v>
                </c:pt>
                <c:pt idx="1">
                  <c:v>2017</c:v>
                </c:pt>
                <c:pt idx="2">
                  <c:v>2018</c:v>
                </c:pt>
                <c:pt idx="3">
                  <c:v>2019</c:v>
                </c:pt>
                <c:pt idx="4">
                  <c:v>2020</c:v>
                </c:pt>
              </c:numCache>
            </c:numRef>
          </c:cat>
          <c:val>
            <c:numRef>
              <c:f>Sheet2!$B$12:$F$12</c:f>
              <c:numCache>
                <c:formatCode>0.00%</c:formatCode>
                <c:ptCount val="5"/>
                <c:pt idx="0">
                  <c:v>3.2400000000000005E-2</c:v>
                </c:pt>
                <c:pt idx="1">
                  <c:v>3.4500000000000003E-2</c:v>
                </c:pt>
                <c:pt idx="2">
                  <c:v>3.44E-2</c:v>
                </c:pt>
                <c:pt idx="3">
                  <c:v>3.7900000000000003E-2</c:v>
                </c:pt>
                <c:pt idx="4">
                  <c:v>3.7699999999999997E-2</c:v>
                </c:pt>
              </c:numCache>
            </c:numRef>
          </c:val>
          <c:smooth val="0"/>
          <c:extLst>
            <c:ext xmlns:c16="http://schemas.microsoft.com/office/drawing/2014/chart" uri="{C3380CC4-5D6E-409C-BE32-E72D297353CC}">
              <c16:uniqueId val="{00000001-5155-4BFC-AA1B-D9653983FCBB}"/>
            </c:ext>
          </c:extLst>
        </c:ser>
        <c:dLbls>
          <c:dLblPos val="t"/>
          <c:showLegendKey val="0"/>
          <c:showVal val="1"/>
          <c:showCatName val="0"/>
          <c:showSerName val="0"/>
          <c:showPercent val="0"/>
          <c:showBubbleSize val="0"/>
        </c:dLbls>
        <c:marker val="1"/>
        <c:smooth val="0"/>
        <c:axId val="1419641632"/>
        <c:axId val="776756288"/>
      </c:lineChart>
      <c:catAx>
        <c:axId val="141964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756288"/>
        <c:crosses val="autoZero"/>
        <c:auto val="1"/>
        <c:lblAlgn val="ctr"/>
        <c:lblOffset val="100"/>
        <c:noMultiLvlLbl val="0"/>
      </c:catAx>
      <c:valAx>
        <c:axId val="776756288"/>
        <c:scaling>
          <c:orientation val="minMax"/>
          <c:min val="2.8000000000000008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零售定期成本率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964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招行兴业对公定期成本率对比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0"/>
          <c:tx>
            <c:strRef>
              <c:f>Sheet2!$I$11</c:f>
              <c:strCache>
                <c:ptCount val="1"/>
                <c:pt idx="0">
                  <c:v>招行对公定期成本率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Sheet2!$J$1:$N$1</c:f>
              <c:numCache>
                <c:formatCode>General</c:formatCode>
                <c:ptCount val="5"/>
                <c:pt idx="0">
                  <c:v>2016</c:v>
                </c:pt>
                <c:pt idx="1">
                  <c:v>2017</c:v>
                </c:pt>
                <c:pt idx="2">
                  <c:v>2018</c:v>
                </c:pt>
                <c:pt idx="3">
                  <c:v>2019</c:v>
                </c:pt>
                <c:pt idx="4">
                  <c:v>2020</c:v>
                </c:pt>
              </c:numCache>
            </c:numRef>
          </c:cat>
          <c:val>
            <c:numRef>
              <c:f>Sheet2!$J$11:$N$11</c:f>
              <c:numCache>
                <c:formatCode>0.00%</c:formatCode>
                <c:ptCount val="5"/>
                <c:pt idx="0">
                  <c:v>2.4300000000000002E-2</c:v>
                </c:pt>
                <c:pt idx="1">
                  <c:v>2.46E-2</c:v>
                </c:pt>
                <c:pt idx="2">
                  <c:v>2.75E-2</c:v>
                </c:pt>
                <c:pt idx="3">
                  <c:v>2.8500000000000001E-2</c:v>
                </c:pt>
                <c:pt idx="4">
                  <c:v>2.86E-2</c:v>
                </c:pt>
              </c:numCache>
            </c:numRef>
          </c:val>
          <c:smooth val="0"/>
          <c:extLst>
            <c:ext xmlns:c16="http://schemas.microsoft.com/office/drawing/2014/chart" uri="{C3380CC4-5D6E-409C-BE32-E72D297353CC}">
              <c16:uniqueId val="{00000000-8B17-4C2B-B6AA-9D1D3DF6AE10}"/>
            </c:ext>
          </c:extLst>
        </c:ser>
        <c:ser>
          <c:idx val="2"/>
          <c:order val="1"/>
          <c:tx>
            <c:strRef>
              <c:f>Sheet2!$I$12</c:f>
              <c:strCache>
                <c:ptCount val="1"/>
                <c:pt idx="0">
                  <c:v>兴业对公定期成本率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Sheet2!$J$1:$N$1</c:f>
              <c:numCache>
                <c:formatCode>General</c:formatCode>
                <c:ptCount val="5"/>
                <c:pt idx="0">
                  <c:v>2016</c:v>
                </c:pt>
                <c:pt idx="1">
                  <c:v>2017</c:v>
                </c:pt>
                <c:pt idx="2">
                  <c:v>2018</c:v>
                </c:pt>
                <c:pt idx="3">
                  <c:v>2019</c:v>
                </c:pt>
                <c:pt idx="4">
                  <c:v>2020</c:v>
                </c:pt>
              </c:numCache>
            </c:numRef>
          </c:cat>
          <c:val>
            <c:numRef>
              <c:f>Sheet2!$J$12:$N$12</c:f>
              <c:numCache>
                <c:formatCode>0.00%</c:formatCode>
                <c:ptCount val="5"/>
                <c:pt idx="0">
                  <c:v>2.52E-2</c:v>
                </c:pt>
                <c:pt idx="1">
                  <c:v>2.8399999999999998E-2</c:v>
                </c:pt>
                <c:pt idx="2">
                  <c:v>3.2199999999999999E-2</c:v>
                </c:pt>
                <c:pt idx="3">
                  <c:v>3.3300000000000003E-2</c:v>
                </c:pt>
                <c:pt idx="4">
                  <c:v>3.1E-2</c:v>
                </c:pt>
              </c:numCache>
            </c:numRef>
          </c:val>
          <c:smooth val="0"/>
          <c:extLst>
            <c:ext xmlns:c16="http://schemas.microsoft.com/office/drawing/2014/chart" uri="{C3380CC4-5D6E-409C-BE32-E72D297353CC}">
              <c16:uniqueId val="{00000001-8B17-4C2B-B6AA-9D1D3DF6AE10}"/>
            </c:ext>
          </c:extLst>
        </c:ser>
        <c:dLbls>
          <c:dLblPos val="t"/>
          <c:showLegendKey val="0"/>
          <c:showVal val="1"/>
          <c:showCatName val="0"/>
          <c:showSerName val="0"/>
          <c:showPercent val="0"/>
          <c:showBubbleSize val="0"/>
        </c:dLbls>
        <c:marker val="1"/>
        <c:smooth val="0"/>
        <c:axId val="1419641632"/>
        <c:axId val="776756288"/>
      </c:lineChart>
      <c:catAx>
        <c:axId val="141964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756288"/>
        <c:crosses val="autoZero"/>
        <c:auto val="1"/>
        <c:lblAlgn val="ctr"/>
        <c:lblOffset val="100"/>
        <c:noMultiLvlLbl val="0"/>
      </c:catAx>
      <c:valAx>
        <c:axId val="776756288"/>
        <c:scaling>
          <c:orientation val="minMax"/>
          <c:min val="2.8000000000000008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对公定期成本率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964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招行兴业核心一级资本充足率对比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Sheet3!$K$2</c:f>
              <c:strCache>
                <c:ptCount val="1"/>
                <c:pt idx="0">
                  <c:v>招行核心一级资本充足率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Sheet3!$L$1:$S$1</c:f>
              <c:numCache>
                <c:formatCode>General</c:formatCode>
                <c:ptCount val="8"/>
                <c:pt idx="0">
                  <c:v>2013</c:v>
                </c:pt>
                <c:pt idx="1">
                  <c:v>2014</c:v>
                </c:pt>
                <c:pt idx="2">
                  <c:v>2015</c:v>
                </c:pt>
                <c:pt idx="3">
                  <c:v>2016</c:v>
                </c:pt>
                <c:pt idx="4">
                  <c:v>2017</c:v>
                </c:pt>
                <c:pt idx="5">
                  <c:v>2018</c:v>
                </c:pt>
                <c:pt idx="6">
                  <c:v>2019</c:v>
                </c:pt>
                <c:pt idx="7">
                  <c:v>2020</c:v>
                </c:pt>
              </c:numCache>
            </c:numRef>
          </c:cat>
          <c:val>
            <c:numRef>
              <c:f>Sheet3!$L$2:$S$2</c:f>
              <c:numCache>
                <c:formatCode>0.00%</c:formatCode>
                <c:ptCount val="8"/>
                <c:pt idx="0">
                  <c:v>9.2699999999999991E-2</c:v>
                </c:pt>
                <c:pt idx="1">
                  <c:v>0.10439999999999999</c:v>
                </c:pt>
                <c:pt idx="2">
                  <c:v>0.10830000000000001</c:v>
                </c:pt>
                <c:pt idx="3">
                  <c:v>0.11539999999999999</c:v>
                </c:pt>
                <c:pt idx="4">
                  <c:v>0.1206</c:v>
                </c:pt>
                <c:pt idx="5">
                  <c:v>0.11779999999999999</c:v>
                </c:pt>
                <c:pt idx="6">
                  <c:v>0.1195</c:v>
                </c:pt>
                <c:pt idx="7">
                  <c:v>0.1229</c:v>
                </c:pt>
              </c:numCache>
            </c:numRef>
          </c:val>
          <c:smooth val="0"/>
          <c:extLst>
            <c:ext xmlns:c16="http://schemas.microsoft.com/office/drawing/2014/chart" uri="{C3380CC4-5D6E-409C-BE32-E72D297353CC}">
              <c16:uniqueId val="{00000000-A894-4C16-917E-D058D754F1CF}"/>
            </c:ext>
          </c:extLst>
        </c:ser>
        <c:ser>
          <c:idx val="1"/>
          <c:order val="1"/>
          <c:tx>
            <c:strRef>
              <c:f>Sheet3!$K$3</c:f>
              <c:strCache>
                <c:ptCount val="1"/>
                <c:pt idx="0">
                  <c:v>兴业核心一级资本充足率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Sheet3!$L$1:$S$1</c:f>
              <c:numCache>
                <c:formatCode>General</c:formatCode>
                <c:ptCount val="8"/>
                <c:pt idx="0">
                  <c:v>2013</c:v>
                </c:pt>
                <c:pt idx="1">
                  <c:v>2014</c:v>
                </c:pt>
                <c:pt idx="2">
                  <c:v>2015</c:v>
                </c:pt>
                <c:pt idx="3">
                  <c:v>2016</c:v>
                </c:pt>
                <c:pt idx="4">
                  <c:v>2017</c:v>
                </c:pt>
                <c:pt idx="5">
                  <c:v>2018</c:v>
                </c:pt>
                <c:pt idx="6">
                  <c:v>2019</c:v>
                </c:pt>
                <c:pt idx="7">
                  <c:v>2020</c:v>
                </c:pt>
              </c:numCache>
            </c:numRef>
          </c:cat>
          <c:val>
            <c:numRef>
              <c:f>Sheet3!$L$3:$S$3</c:f>
              <c:numCache>
                <c:formatCode>0.00%</c:formatCode>
                <c:ptCount val="8"/>
                <c:pt idx="0">
                  <c:v>8.6800000000000002E-2</c:v>
                </c:pt>
                <c:pt idx="1">
                  <c:v>8.4499999999999992E-2</c:v>
                </c:pt>
                <c:pt idx="2">
                  <c:v>8.43E-2</c:v>
                </c:pt>
                <c:pt idx="3">
                  <c:v>8.5500000000000007E-2</c:v>
                </c:pt>
                <c:pt idx="4">
                  <c:v>9.0700000000000003E-2</c:v>
                </c:pt>
                <c:pt idx="5">
                  <c:v>9.3000000000000013E-2</c:v>
                </c:pt>
                <c:pt idx="6">
                  <c:v>9.4700000000000006E-2</c:v>
                </c:pt>
                <c:pt idx="7">
                  <c:v>9.3299999999999994E-2</c:v>
                </c:pt>
              </c:numCache>
            </c:numRef>
          </c:val>
          <c:smooth val="0"/>
          <c:extLst>
            <c:ext xmlns:c16="http://schemas.microsoft.com/office/drawing/2014/chart" uri="{C3380CC4-5D6E-409C-BE32-E72D297353CC}">
              <c16:uniqueId val="{00000001-A894-4C16-917E-D058D754F1CF}"/>
            </c:ext>
          </c:extLst>
        </c:ser>
        <c:dLbls>
          <c:dLblPos val="t"/>
          <c:showLegendKey val="0"/>
          <c:showVal val="1"/>
          <c:showCatName val="0"/>
          <c:showSerName val="0"/>
          <c:showPercent val="0"/>
          <c:showBubbleSize val="0"/>
        </c:dLbls>
        <c:marker val="1"/>
        <c:smooth val="0"/>
        <c:axId val="1419638432"/>
        <c:axId val="1191751920"/>
      </c:lineChart>
      <c:catAx>
        <c:axId val="141963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1751920"/>
        <c:crosses val="autoZero"/>
        <c:auto val="1"/>
        <c:lblAlgn val="ctr"/>
        <c:lblOffset val="100"/>
        <c:noMultiLvlLbl val="0"/>
      </c:catAx>
      <c:valAx>
        <c:axId val="1191751920"/>
        <c:scaling>
          <c:orientation val="minMax"/>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核心一级资本充足率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963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招行兴业一级资本充足率对比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Sheet3!$K$4</c:f>
              <c:strCache>
                <c:ptCount val="1"/>
                <c:pt idx="0">
                  <c:v>招行一级资本充足率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Sheet3!$L$1:$S$1</c:f>
              <c:numCache>
                <c:formatCode>General</c:formatCode>
                <c:ptCount val="8"/>
                <c:pt idx="0">
                  <c:v>2013</c:v>
                </c:pt>
                <c:pt idx="1">
                  <c:v>2014</c:v>
                </c:pt>
                <c:pt idx="2">
                  <c:v>2015</c:v>
                </c:pt>
                <c:pt idx="3">
                  <c:v>2016</c:v>
                </c:pt>
                <c:pt idx="4">
                  <c:v>2017</c:v>
                </c:pt>
                <c:pt idx="5">
                  <c:v>2018</c:v>
                </c:pt>
                <c:pt idx="6">
                  <c:v>2019</c:v>
                </c:pt>
                <c:pt idx="7">
                  <c:v>2020</c:v>
                </c:pt>
              </c:numCache>
            </c:numRef>
          </c:cat>
          <c:val>
            <c:numRef>
              <c:f>Sheet3!$L$4:$S$4</c:f>
              <c:numCache>
                <c:formatCode>0.00%</c:formatCode>
                <c:ptCount val="8"/>
                <c:pt idx="0">
                  <c:v>9.2699999999999991E-2</c:v>
                </c:pt>
                <c:pt idx="1">
                  <c:v>0.10439999999999999</c:v>
                </c:pt>
                <c:pt idx="2">
                  <c:v>0.10830000000000001</c:v>
                </c:pt>
                <c:pt idx="3">
                  <c:v>0.11539999999999999</c:v>
                </c:pt>
                <c:pt idx="4">
                  <c:v>0.13019999999999998</c:v>
                </c:pt>
                <c:pt idx="5">
                  <c:v>0.12619999999999998</c:v>
                </c:pt>
                <c:pt idx="6">
                  <c:v>0.12689999999999999</c:v>
                </c:pt>
                <c:pt idx="7">
                  <c:v>0.13980000000000001</c:v>
                </c:pt>
              </c:numCache>
            </c:numRef>
          </c:val>
          <c:smooth val="0"/>
          <c:extLst>
            <c:ext xmlns:c16="http://schemas.microsoft.com/office/drawing/2014/chart" uri="{C3380CC4-5D6E-409C-BE32-E72D297353CC}">
              <c16:uniqueId val="{00000000-2C40-49B5-B62C-CAEBAE87F591}"/>
            </c:ext>
          </c:extLst>
        </c:ser>
        <c:ser>
          <c:idx val="1"/>
          <c:order val="1"/>
          <c:tx>
            <c:strRef>
              <c:f>Sheet3!$K$5</c:f>
              <c:strCache>
                <c:ptCount val="1"/>
                <c:pt idx="0">
                  <c:v>兴业一级资本充足率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Sheet3!$L$1:$S$1</c:f>
              <c:numCache>
                <c:formatCode>General</c:formatCode>
                <c:ptCount val="8"/>
                <c:pt idx="0">
                  <c:v>2013</c:v>
                </c:pt>
                <c:pt idx="1">
                  <c:v>2014</c:v>
                </c:pt>
                <c:pt idx="2">
                  <c:v>2015</c:v>
                </c:pt>
                <c:pt idx="3">
                  <c:v>2016</c:v>
                </c:pt>
                <c:pt idx="4">
                  <c:v>2017</c:v>
                </c:pt>
                <c:pt idx="5">
                  <c:v>2018</c:v>
                </c:pt>
                <c:pt idx="6">
                  <c:v>2019</c:v>
                </c:pt>
                <c:pt idx="7">
                  <c:v>2020</c:v>
                </c:pt>
              </c:numCache>
            </c:numRef>
          </c:cat>
          <c:val>
            <c:numRef>
              <c:f>Sheet3!$L$5:$S$5</c:f>
              <c:numCache>
                <c:formatCode>0.00%</c:formatCode>
                <c:ptCount val="8"/>
                <c:pt idx="0">
                  <c:v>8.6800000000000002E-2</c:v>
                </c:pt>
                <c:pt idx="1">
                  <c:v>8.8900000000000007E-2</c:v>
                </c:pt>
                <c:pt idx="2">
                  <c:v>9.1899999999999996E-2</c:v>
                </c:pt>
                <c:pt idx="3">
                  <c:v>9.2300000000000007E-2</c:v>
                </c:pt>
                <c:pt idx="4">
                  <c:v>9.6699999999999994E-2</c:v>
                </c:pt>
                <c:pt idx="5">
                  <c:v>9.849999999999999E-2</c:v>
                </c:pt>
                <c:pt idx="6">
                  <c:v>0.1056</c:v>
                </c:pt>
                <c:pt idx="7">
                  <c:v>0.1085</c:v>
                </c:pt>
              </c:numCache>
            </c:numRef>
          </c:val>
          <c:smooth val="0"/>
          <c:extLst>
            <c:ext xmlns:c16="http://schemas.microsoft.com/office/drawing/2014/chart" uri="{C3380CC4-5D6E-409C-BE32-E72D297353CC}">
              <c16:uniqueId val="{00000001-2C40-49B5-B62C-CAEBAE87F591}"/>
            </c:ext>
          </c:extLst>
        </c:ser>
        <c:dLbls>
          <c:dLblPos val="t"/>
          <c:showLegendKey val="0"/>
          <c:showVal val="1"/>
          <c:showCatName val="0"/>
          <c:showSerName val="0"/>
          <c:showPercent val="0"/>
          <c:showBubbleSize val="0"/>
        </c:dLbls>
        <c:marker val="1"/>
        <c:smooth val="0"/>
        <c:axId val="1419638432"/>
        <c:axId val="1191751920"/>
      </c:lineChart>
      <c:catAx>
        <c:axId val="141963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1751920"/>
        <c:crosses val="autoZero"/>
        <c:auto val="1"/>
        <c:lblAlgn val="ctr"/>
        <c:lblOffset val="100"/>
        <c:noMultiLvlLbl val="0"/>
      </c:catAx>
      <c:valAx>
        <c:axId val="1191751920"/>
        <c:scaling>
          <c:orientation val="minMax"/>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核心一级资本充足率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963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招行兴业资本充足率对比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Sheet3!$K$6</c:f>
              <c:strCache>
                <c:ptCount val="1"/>
                <c:pt idx="0">
                  <c:v>招行资本充足率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Sheet3!$M$1:$S$1</c:f>
              <c:numCache>
                <c:formatCode>General</c:formatCode>
                <c:ptCount val="7"/>
                <c:pt idx="0">
                  <c:v>2014</c:v>
                </c:pt>
                <c:pt idx="1">
                  <c:v>2015</c:v>
                </c:pt>
                <c:pt idx="2">
                  <c:v>2016</c:v>
                </c:pt>
                <c:pt idx="3">
                  <c:v>2017</c:v>
                </c:pt>
                <c:pt idx="4">
                  <c:v>2018</c:v>
                </c:pt>
                <c:pt idx="5">
                  <c:v>2019</c:v>
                </c:pt>
                <c:pt idx="6">
                  <c:v>2020</c:v>
                </c:pt>
              </c:numCache>
            </c:numRef>
          </c:cat>
          <c:val>
            <c:numRef>
              <c:f>Sheet3!$M$6:$S$6</c:f>
              <c:numCache>
                <c:formatCode>0.00%</c:formatCode>
                <c:ptCount val="7"/>
                <c:pt idx="0">
                  <c:v>0.12380000000000001</c:v>
                </c:pt>
                <c:pt idx="1">
                  <c:v>0.12570000000000001</c:v>
                </c:pt>
                <c:pt idx="2">
                  <c:v>0.1333</c:v>
                </c:pt>
                <c:pt idx="3">
                  <c:v>0.15479999999999999</c:v>
                </c:pt>
                <c:pt idx="4">
                  <c:v>0.15679999999999999</c:v>
                </c:pt>
                <c:pt idx="5">
                  <c:v>0.15539999999999998</c:v>
                </c:pt>
                <c:pt idx="6">
                  <c:v>0.16539999999999999</c:v>
                </c:pt>
              </c:numCache>
            </c:numRef>
          </c:val>
          <c:smooth val="0"/>
          <c:extLst>
            <c:ext xmlns:c16="http://schemas.microsoft.com/office/drawing/2014/chart" uri="{C3380CC4-5D6E-409C-BE32-E72D297353CC}">
              <c16:uniqueId val="{00000000-2DE4-44BA-9089-562A7C8B67E8}"/>
            </c:ext>
          </c:extLst>
        </c:ser>
        <c:ser>
          <c:idx val="1"/>
          <c:order val="1"/>
          <c:tx>
            <c:strRef>
              <c:f>Sheet3!$K$7</c:f>
              <c:strCache>
                <c:ptCount val="1"/>
                <c:pt idx="0">
                  <c:v>兴业资本充足率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Sheet3!$M$1:$S$1</c:f>
              <c:numCache>
                <c:formatCode>General</c:formatCode>
                <c:ptCount val="7"/>
                <c:pt idx="0">
                  <c:v>2014</c:v>
                </c:pt>
                <c:pt idx="1">
                  <c:v>2015</c:v>
                </c:pt>
                <c:pt idx="2">
                  <c:v>2016</c:v>
                </c:pt>
                <c:pt idx="3">
                  <c:v>2017</c:v>
                </c:pt>
                <c:pt idx="4">
                  <c:v>2018</c:v>
                </c:pt>
                <c:pt idx="5">
                  <c:v>2019</c:v>
                </c:pt>
                <c:pt idx="6">
                  <c:v>2020</c:v>
                </c:pt>
              </c:numCache>
            </c:numRef>
          </c:cat>
          <c:val>
            <c:numRef>
              <c:f>Sheet3!$M$7:$S$7</c:f>
              <c:numCache>
                <c:formatCode>0.00%</c:formatCode>
                <c:ptCount val="7"/>
                <c:pt idx="0">
                  <c:v>0.11289999999999999</c:v>
                </c:pt>
                <c:pt idx="1">
                  <c:v>0.1119</c:v>
                </c:pt>
                <c:pt idx="2">
                  <c:v>0.1202</c:v>
                </c:pt>
                <c:pt idx="3">
                  <c:v>0.12189999999999999</c:v>
                </c:pt>
                <c:pt idx="4">
                  <c:v>0.122</c:v>
                </c:pt>
                <c:pt idx="5">
                  <c:v>0.1336</c:v>
                </c:pt>
                <c:pt idx="6">
                  <c:v>0.13470000000000001</c:v>
                </c:pt>
              </c:numCache>
            </c:numRef>
          </c:val>
          <c:smooth val="0"/>
          <c:extLst>
            <c:ext xmlns:c16="http://schemas.microsoft.com/office/drawing/2014/chart" uri="{C3380CC4-5D6E-409C-BE32-E72D297353CC}">
              <c16:uniqueId val="{00000001-2DE4-44BA-9089-562A7C8B67E8}"/>
            </c:ext>
          </c:extLst>
        </c:ser>
        <c:dLbls>
          <c:dLblPos val="t"/>
          <c:showLegendKey val="0"/>
          <c:showVal val="1"/>
          <c:showCatName val="0"/>
          <c:showSerName val="0"/>
          <c:showPercent val="0"/>
          <c:showBubbleSize val="0"/>
        </c:dLbls>
        <c:marker val="1"/>
        <c:smooth val="0"/>
        <c:axId val="1419638432"/>
        <c:axId val="1191751920"/>
      </c:lineChart>
      <c:catAx>
        <c:axId val="141963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1751920"/>
        <c:crosses val="autoZero"/>
        <c:auto val="1"/>
        <c:lblAlgn val="ctr"/>
        <c:lblOffset val="100"/>
        <c:noMultiLvlLbl val="0"/>
      </c:catAx>
      <c:valAx>
        <c:axId val="1191751920"/>
        <c:scaling>
          <c:orientation val="minMax"/>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核心一级资本充足率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963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招行兴业每股收益对比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Sheet3!$A$22</c:f>
              <c:strCache>
                <c:ptCount val="1"/>
                <c:pt idx="0">
                  <c:v>招行每股收益（元）</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Sheet3!$B$21:$K$21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Sheet3!$B$22:$K$22</c:f>
              <c:numCache>
                <c:formatCode>#,##0.00_ </c:formatCode>
                <c:ptCount val="10"/>
                <c:pt idx="0">
                  <c:v>1.67</c:v>
                </c:pt>
                <c:pt idx="1">
                  <c:v>2.1</c:v>
                </c:pt>
                <c:pt idx="2">
                  <c:v>2.2999999999999998</c:v>
                </c:pt>
                <c:pt idx="3">
                  <c:v>2.2200000000000002</c:v>
                </c:pt>
                <c:pt idx="4">
                  <c:v>2.29</c:v>
                </c:pt>
                <c:pt idx="5">
                  <c:v>2.46</c:v>
                </c:pt>
                <c:pt idx="6">
                  <c:v>2.78</c:v>
                </c:pt>
                <c:pt idx="7">
                  <c:v>3.13</c:v>
                </c:pt>
                <c:pt idx="8">
                  <c:v>3.62</c:v>
                </c:pt>
                <c:pt idx="9">
                  <c:v>3.79</c:v>
                </c:pt>
              </c:numCache>
            </c:numRef>
          </c:val>
          <c:smooth val="0"/>
          <c:extLst>
            <c:ext xmlns:c16="http://schemas.microsoft.com/office/drawing/2014/chart" uri="{C3380CC4-5D6E-409C-BE32-E72D297353CC}">
              <c16:uniqueId val="{00000000-95E3-450D-8B48-4BE228A89E95}"/>
            </c:ext>
          </c:extLst>
        </c:ser>
        <c:ser>
          <c:idx val="1"/>
          <c:order val="1"/>
          <c:tx>
            <c:strRef>
              <c:f>Sheet3!$A$23</c:f>
              <c:strCache>
                <c:ptCount val="1"/>
                <c:pt idx="0">
                  <c:v>兴业每股收益（元）</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Sheet3!$B$21:$K$21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Sheet3!$B$23:$K$23</c:f>
              <c:numCache>
                <c:formatCode>#,##0.00_ </c:formatCode>
                <c:ptCount val="10"/>
                <c:pt idx="0">
                  <c:v>2.36</c:v>
                </c:pt>
                <c:pt idx="1">
                  <c:v>3.22</c:v>
                </c:pt>
                <c:pt idx="2">
                  <c:v>2.16</c:v>
                </c:pt>
                <c:pt idx="3">
                  <c:v>2.4700000000000002</c:v>
                </c:pt>
                <c:pt idx="4">
                  <c:v>2.63</c:v>
                </c:pt>
                <c:pt idx="5">
                  <c:v>2.77</c:v>
                </c:pt>
                <c:pt idx="6">
                  <c:v>2.74</c:v>
                </c:pt>
                <c:pt idx="7">
                  <c:v>2.85</c:v>
                </c:pt>
                <c:pt idx="8">
                  <c:v>3.1</c:v>
                </c:pt>
                <c:pt idx="9">
                  <c:v>3.08</c:v>
                </c:pt>
              </c:numCache>
            </c:numRef>
          </c:val>
          <c:smooth val="0"/>
          <c:extLst>
            <c:ext xmlns:c16="http://schemas.microsoft.com/office/drawing/2014/chart" uri="{C3380CC4-5D6E-409C-BE32-E72D297353CC}">
              <c16:uniqueId val="{00000001-95E3-450D-8B48-4BE228A89E95}"/>
            </c:ext>
          </c:extLst>
        </c:ser>
        <c:dLbls>
          <c:dLblPos val="t"/>
          <c:showLegendKey val="0"/>
          <c:showVal val="1"/>
          <c:showCatName val="0"/>
          <c:showSerName val="0"/>
          <c:showPercent val="0"/>
          <c:showBubbleSize val="0"/>
        </c:dLbls>
        <c:marker val="1"/>
        <c:smooth val="0"/>
        <c:axId val="1419638432"/>
        <c:axId val="1191751920"/>
      </c:lineChart>
      <c:catAx>
        <c:axId val="141963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1751920"/>
        <c:crosses val="autoZero"/>
        <c:auto val="1"/>
        <c:lblAlgn val="ctr"/>
        <c:lblOffset val="100"/>
        <c:noMultiLvlLbl val="0"/>
      </c:catAx>
      <c:valAx>
        <c:axId val="119175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每股收益（元）</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963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zh-CN" altLang="en-US"/>
              <a:t>招行兴业风险资产税前有效收益率对比</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lineChart>
        <c:grouping val="standard"/>
        <c:varyColors val="0"/>
        <c:ser>
          <c:idx val="0"/>
          <c:order val="0"/>
          <c:tx>
            <c:strRef>
              <c:f>Sheet3!$A$8</c:f>
              <c:strCache>
                <c:ptCount val="1"/>
                <c:pt idx="0">
                  <c:v>招行风险资产税前有效收益率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Sheet3!$B$1:$F$1</c:f>
              <c:numCache>
                <c:formatCode>General</c:formatCode>
                <c:ptCount val="5"/>
                <c:pt idx="0">
                  <c:v>2016</c:v>
                </c:pt>
                <c:pt idx="1">
                  <c:v>2017</c:v>
                </c:pt>
                <c:pt idx="2">
                  <c:v>2018</c:v>
                </c:pt>
                <c:pt idx="3">
                  <c:v>2019</c:v>
                </c:pt>
                <c:pt idx="4">
                  <c:v>2020</c:v>
                </c:pt>
              </c:numCache>
            </c:numRef>
          </c:cat>
          <c:val>
            <c:numRef>
              <c:f>Sheet3!$B$8:$F$8</c:f>
              <c:numCache>
                <c:formatCode>0.00%</c:formatCode>
                <c:ptCount val="5"/>
                <c:pt idx="0">
                  <c:v>6.9644017940094834E-3</c:v>
                </c:pt>
                <c:pt idx="1">
                  <c:v>8.5491872111976355E-3</c:v>
                </c:pt>
                <c:pt idx="2">
                  <c:v>1.0783089699454421E-2</c:v>
                </c:pt>
                <c:pt idx="3">
                  <c:v>1.0984447725594374E-2</c:v>
                </c:pt>
                <c:pt idx="4">
                  <c:v>9.9465368608020639E-3</c:v>
                </c:pt>
              </c:numCache>
            </c:numRef>
          </c:val>
          <c:smooth val="0"/>
          <c:extLst>
            <c:ext xmlns:c16="http://schemas.microsoft.com/office/drawing/2014/chart" uri="{C3380CC4-5D6E-409C-BE32-E72D297353CC}">
              <c16:uniqueId val="{00000000-950B-4A53-9062-DC0CAEE711BF}"/>
            </c:ext>
          </c:extLst>
        </c:ser>
        <c:ser>
          <c:idx val="1"/>
          <c:order val="1"/>
          <c:tx>
            <c:strRef>
              <c:f>Sheet3!$A$17</c:f>
              <c:strCache>
                <c:ptCount val="1"/>
                <c:pt idx="0">
                  <c:v>兴业风险资产税前有效收益率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Sheet3!$B$1:$F$1</c:f>
              <c:numCache>
                <c:formatCode>General</c:formatCode>
                <c:ptCount val="5"/>
                <c:pt idx="0">
                  <c:v>2016</c:v>
                </c:pt>
                <c:pt idx="1">
                  <c:v>2017</c:v>
                </c:pt>
                <c:pt idx="2">
                  <c:v>2018</c:v>
                </c:pt>
                <c:pt idx="3">
                  <c:v>2019</c:v>
                </c:pt>
                <c:pt idx="4">
                  <c:v>2020</c:v>
                </c:pt>
              </c:numCache>
            </c:numRef>
          </c:cat>
          <c:val>
            <c:numRef>
              <c:f>Sheet3!$B$17:$F$17</c:f>
              <c:numCache>
                <c:formatCode>0.00%</c:formatCode>
                <c:ptCount val="5"/>
                <c:pt idx="0">
                  <c:v>8.6338294850891537E-3</c:v>
                </c:pt>
                <c:pt idx="1">
                  <c:v>6.3927076020154428E-3</c:v>
                </c:pt>
                <c:pt idx="2">
                  <c:v>5.6694579891705598E-3</c:v>
                </c:pt>
                <c:pt idx="3">
                  <c:v>9.0325454262259845E-3</c:v>
                </c:pt>
                <c:pt idx="4">
                  <c:v>7.3693146385543449E-3</c:v>
                </c:pt>
              </c:numCache>
            </c:numRef>
          </c:val>
          <c:smooth val="0"/>
          <c:extLst>
            <c:ext xmlns:c16="http://schemas.microsoft.com/office/drawing/2014/chart" uri="{C3380CC4-5D6E-409C-BE32-E72D297353CC}">
              <c16:uniqueId val="{00000001-950B-4A53-9062-DC0CAEE711BF}"/>
            </c:ext>
          </c:extLst>
        </c:ser>
        <c:dLbls>
          <c:showLegendKey val="0"/>
          <c:showVal val="0"/>
          <c:showCatName val="0"/>
          <c:showSerName val="0"/>
          <c:showPercent val="0"/>
          <c:showBubbleSize val="0"/>
        </c:dLbls>
        <c:marker val="1"/>
        <c:smooth val="0"/>
        <c:axId val="1439060896"/>
        <c:axId val="777201440"/>
      </c:lineChart>
      <c:catAx>
        <c:axId val="1439060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7201440"/>
        <c:crosses val="autoZero"/>
        <c:auto val="1"/>
        <c:lblAlgn val="ctr"/>
        <c:lblOffset val="100"/>
        <c:noMultiLvlLbl val="0"/>
      </c:catAx>
      <c:valAx>
        <c:axId val="77720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风险资产税前有效收益率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906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招行兴业营业收入对比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招行营业收入（亿元）</c:v>
                </c:pt>
              </c:strCache>
            </c:strRef>
          </c:tx>
          <c:spPr>
            <a:solidFill>
              <a:schemeClr val="accent1"/>
            </a:solidFill>
            <a:ln>
              <a:noFill/>
            </a:ln>
            <a:effectLst/>
          </c:spPr>
          <c:invertIfNegative val="0"/>
          <c:cat>
            <c:numRef>
              <c:f>Sheet1!$B$1:$K$1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Sheet1!$B$2:$K$2</c:f>
              <c:numCache>
                <c:formatCode>0.00_ </c:formatCode>
                <c:ptCount val="10"/>
                <c:pt idx="0">
                  <c:v>961.57</c:v>
                </c:pt>
                <c:pt idx="1">
                  <c:v>1133.67</c:v>
                </c:pt>
                <c:pt idx="2" formatCode="General">
                  <c:v>1326.04</c:v>
                </c:pt>
                <c:pt idx="3" formatCode="General">
                  <c:v>1658.63</c:v>
                </c:pt>
                <c:pt idx="4" formatCode="General">
                  <c:v>2014.71</c:v>
                </c:pt>
                <c:pt idx="5" formatCode="General">
                  <c:v>2090.25</c:v>
                </c:pt>
                <c:pt idx="6" formatCode="General">
                  <c:v>2208.9699999999998</c:v>
                </c:pt>
                <c:pt idx="7" formatCode="General">
                  <c:v>2485.5500000000002</c:v>
                </c:pt>
                <c:pt idx="8" formatCode="General">
                  <c:v>2697.03</c:v>
                </c:pt>
                <c:pt idx="9" formatCode="General">
                  <c:v>2904.82</c:v>
                </c:pt>
              </c:numCache>
            </c:numRef>
          </c:val>
          <c:extLst>
            <c:ext xmlns:c16="http://schemas.microsoft.com/office/drawing/2014/chart" uri="{C3380CC4-5D6E-409C-BE32-E72D297353CC}">
              <c16:uniqueId val="{00000000-5F0F-441C-B161-B47709894548}"/>
            </c:ext>
          </c:extLst>
        </c:ser>
        <c:ser>
          <c:idx val="1"/>
          <c:order val="1"/>
          <c:tx>
            <c:strRef>
              <c:f>Sheet1!$A$4</c:f>
              <c:strCache>
                <c:ptCount val="1"/>
                <c:pt idx="0">
                  <c:v>兴业营业收入（亿元）</c:v>
                </c:pt>
              </c:strCache>
            </c:strRef>
          </c:tx>
          <c:spPr>
            <a:solidFill>
              <a:schemeClr val="accent2"/>
            </a:solidFill>
            <a:ln>
              <a:noFill/>
            </a:ln>
            <a:effectLst/>
          </c:spPr>
          <c:invertIfNegative val="0"/>
          <c:cat>
            <c:numRef>
              <c:f>Sheet1!$B$1:$K$1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Sheet1!$B$4:$K$4</c:f>
              <c:numCache>
                <c:formatCode>General</c:formatCode>
                <c:ptCount val="10"/>
                <c:pt idx="0">
                  <c:v>598.70000000000005</c:v>
                </c:pt>
                <c:pt idx="1">
                  <c:v>876.19</c:v>
                </c:pt>
                <c:pt idx="2">
                  <c:v>1092.8699999999999</c:v>
                </c:pt>
                <c:pt idx="3">
                  <c:v>1248.98</c:v>
                </c:pt>
                <c:pt idx="4">
                  <c:v>1543.48</c:v>
                </c:pt>
                <c:pt idx="5">
                  <c:v>1570.6</c:v>
                </c:pt>
                <c:pt idx="6">
                  <c:v>1399.75</c:v>
                </c:pt>
                <c:pt idx="7">
                  <c:v>1582.87</c:v>
                </c:pt>
                <c:pt idx="8">
                  <c:v>1813.08</c:v>
                </c:pt>
                <c:pt idx="9">
                  <c:v>2031.37</c:v>
                </c:pt>
              </c:numCache>
            </c:numRef>
          </c:val>
          <c:extLst>
            <c:ext xmlns:c16="http://schemas.microsoft.com/office/drawing/2014/chart" uri="{C3380CC4-5D6E-409C-BE32-E72D297353CC}">
              <c16:uniqueId val="{00000001-5F0F-441C-B161-B47709894548}"/>
            </c:ext>
          </c:extLst>
        </c:ser>
        <c:dLbls>
          <c:showLegendKey val="0"/>
          <c:showVal val="0"/>
          <c:showCatName val="0"/>
          <c:showSerName val="0"/>
          <c:showPercent val="0"/>
          <c:showBubbleSize val="0"/>
        </c:dLbls>
        <c:gapWidth val="150"/>
        <c:axId val="1063862335"/>
        <c:axId val="1064112527"/>
      </c:barChart>
      <c:lineChart>
        <c:grouping val="standard"/>
        <c:varyColors val="0"/>
        <c:ser>
          <c:idx val="3"/>
          <c:order val="2"/>
          <c:tx>
            <c:strRef>
              <c:f>Sheet1!$A$3</c:f>
              <c:strCache>
                <c:ptCount val="1"/>
                <c:pt idx="0">
                  <c:v>招行营业收入同比增长（%）</c:v>
                </c:pt>
              </c:strCache>
            </c:strRef>
          </c:tx>
          <c:spPr>
            <a:ln w="28575" cap="rnd">
              <a:solidFill>
                <a:schemeClr val="accent4"/>
              </a:solidFill>
              <a:round/>
            </a:ln>
            <a:effectLst/>
          </c:spPr>
          <c:marker>
            <c:symbol val="none"/>
          </c:marker>
          <c:cat>
            <c:numRef>
              <c:f>Sheet1!$B$1:$K$1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Sheet1!$B$3:$K$3</c:f>
              <c:numCache>
                <c:formatCode>General</c:formatCode>
                <c:ptCount val="10"/>
                <c:pt idx="0">
                  <c:v>34.72</c:v>
                </c:pt>
                <c:pt idx="1">
                  <c:v>17.899999999999999</c:v>
                </c:pt>
                <c:pt idx="2">
                  <c:v>16.97</c:v>
                </c:pt>
                <c:pt idx="3">
                  <c:v>25.08</c:v>
                </c:pt>
                <c:pt idx="4">
                  <c:v>21.47</c:v>
                </c:pt>
                <c:pt idx="5">
                  <c:v>3.75</c:v>
                </c:pt>
                <c:pt idx="6">
                  <c:v>5.33</c:v>
                </c:pt>
                <c:pt idx="7">
                  <c:v>12.52</c:v>
                </c:pt>
                <c:pt idx="8">
                  <c:v>8.51</c:v>
                </c:pt>
                <c:pt idx="9">
                  <c:v>7.7</c:v>
                </c:pt>
              </c:numCache>
            </c:numRef>
          </c:val>
          <c:smooth val="0"/>
          <c:extLst>
            <c:ext xmlns:c16="http://schemas.microsoft.com/office/drawing/2014/chart" uri="{C3380CC4-5D6E-409C-BE32-E72D297353CC}">
              <c16:uniqueId val="{00000002-5F0F-441C-B161-B47709894548}"/>
            </c:ext>
          </c:extLst>
        </c:ser>
        <c:ser>
          <c:idx val="4"/>
          <c:order val="3"/>
          <c:tx>
            <c:strRef>
              <c:f>Sheet1!$A$5</c:f>
              <c:strCache>
                <c:ptCount val="1"/>
                <c:pt idx="0">
                  <c:v>兴业营业收入同比增长（%）</c:v>
                </c:pt>
              </c:strCache>
            </c:strRef>
          </c:tx>
          <c:spPr>
            <a:ln w="28575" cap="rnd">
              <a:solidFill>
                <a:schemeClr val="accent5"/>
              </a:solidFill>
              <a:round/>
            </a:ln>
            <a:effectLst/>
          </c:spPr>
          <c:marker>
            <c:symbol val="none"/>
          </c:marker>
          <c:cat>
            <c:numRef>
              <c:f>Sheet1!$B$1:$K$1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Sheet1!$B$5:$K$5</c:f>
              <c:numCache>
                <c:formatCode>General</c:formatCode>
                <c:ptCount val="10"/>
                <c:pt idx="0">
                  <c:v>37.770000000000003</c:v>
                </c:pt>
                <c:pt idx="1">
                  <c:v>46.35</c:v>
                </c:pt>
                <c:pt idx="2">
                  <c:v>24.73</c:v>
                </c:pt>
                <c:pt idx="3">
                  <c:v>14.28</c:v>
                </c:pt>
                <c:pt idx="4">
                  <c:v>23.58</c:v>
                </c:pt>
                <c:pt idx="5">
                  <c:v>1.76</c:v>
                </c:pt>
                <c:pt idx="6">
                  <c:v>-10.89</c:v>
                </c:pt>
                <c:pt idx="7">
                  <c:v>13.08</c:v>
                </c:pt>
                <c:pt idx="8">
                  <c:v>14.54</c:v>
                </c:pt>
                <c:pt idx="9">
                  <c:v>12.04</c:v>
                </c:pt>
              </c:numCache>
            </c:numRef>
          </c:val>
          <c:smooth val="0"/>
          <c:extLst>
            <c:ext xmlns:c16="http://schemas.microsoft.com/office/drawing/2014/chart" uri="{C3380CC4-5D6E-409C-BE32-E72D297353CC}">
              <c16:uniqueId val="{00000003-5F0F-441C-B161-B47709894548}"/>
            </c:ext>
          </c:extLst>
        </c:ser>
        <c:dLbls>
          <c:showLegendKey val="0"/>
          <c:showVal val="0"/>
          <c:showCatName val="0"/>
          <c:showSerName val="0"/>
          <c:showPercent val="0"/>
          <c:showBubbleSize val="0"/>
        </c:dLbls>
        <c:marker val="1"/>
        <c:smooth val="0"/>
        <c:axId val="1063868735"/>
        <c:axId val="1064112943"/>
      </c:lineChart>
      <c:catAx>
        <c:axId val="1063862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64112527"/>
        <c:crosses val="autoZero"/>
        <c:auto val="1"/>
        <c:lblAlgn val="ctr"/>
        <c:lblOffset val="100"/>
        <c:noMultiLvlLbl val="0"/>
      </c:catAx>
      <c:valAx>
        <c:axId val="1064112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营业收入（亿元）</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63862335"/>
        <c:crosses val="autoZero"/>
        <c:crossBetween val="between"/>
      </c:valAx>
      <c:valAx>
        <c:axId val="106411294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营业收入同比增长（</a:t>
                </a:r>
                <a:r>
                  <a:rPr lang="en-US" altLang="zh-CN"/>
                  <a:t>%</a:t>
                </a:r>
                <a:r>
                  <a:rPr lang="zh-CN" alt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63868735"/>
        <c:crosses val="max"/>
        <c:crossBetween val="between"/>
      </c:valAx>
      <c:catAx>
        <c:axId val="1063868735"/>
        <c:scaling>
          <c:orientation val="minMax"/>
        </c:scaling>
        <c:delete val="1"/>
        <c:axPos val="b"/>
        <c:numFmt formatCode="General" sourceLinked="1"/>
        <c:majorTickMark val="none"/>
        <c:minorTickMark val="none"/>
        <c:tickLblPos val="nextTo"/>
        <c:crossAx val="106411294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招行兴业净息差对比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Sheet1!$A$7</c:f>
              <c:strCache>
                <c:ptCount val="1"/>
                <c:pt idx="0">
                  <c:v>招行净息差（%）</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Sheet1!$B$7:$K$7</c:f>
              <c:numCache>
                <c:formatCode>General</c:formatCode>
                <c:ptCount val="10"/>
                <c:pt idx="0">
                  <c:v>3.06</c:v>
                </c:pt>
                <c:pt idx="1">
                  <c:v>3.03</c:v>
                </c:pt>
                <c:pt idx="2">
                  <c:v>2.82</c:v>
                </c:pt>
                <c:pt idx="3">
                  <c:v>2.52</c:v>
                </c:pt>
                <c:pt idx="4">
                  <c:v>2.75</c:v>
                </c:pt>
                <c:pt idx="5">
                  <c:v>2.5</c:v>
                </c:pt>
                <c:pt idx="6">
                  <c:v>2.4300000000000002</c:v>
                </c:pt>
                <c:pt idx="7">
                  <c:v>2.57</c:v>
                </c:pt>
                <c:pt idx="8">
                  <c:v>2.59</c:v>
                </c:pt>
                <c:pt idx="9">
                  <c:v>2.4900000000000002</c:v>
                </c:pt>
              </c:numCache>
            </c:numRef>
          </c:val>
          <c:smooth val="0"/>
          <c:extLst>
            <c:ext xmlns:c16="http://schemas.microsoft.com/office/drawing/2014/chart" uri="{C3380CC4-5D6E-409C-BE32-E72D297353CC}">
              <c16:uniqueId val="{00000000-6378-4EF2-A222-4975E3CA703A}"/>
            </c:ext>
          </c:extLst>
        </c:ser>
        <c:ser>
          <c:idx val="1"/>
          <c:order val="1"/>
          <c:tx>
            <c:strRef>
              <c:f>Sheet1!$A$8</c:f>
              <c:strCache>
                <c:ptCount val="1"/>
                <c:pt idx="0">
                  <c:v>兴业净息差（%）</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Sheet1!$B$8:$K$8</c:f>
              <c:numCache>
                <c:formatCode>General</c:formatCode>
                <c:ptCount val="10"/>
                <c:pt idx="0">
                  <c:v>2.52</c:v>
                </c:pt>
                <c:pt idx="1">
                  <c:v>2.64</c:v>
                </c:pt>
                <c:pt idx="2">
                  <c:v>2.44</c:v>
                </c:pt>
                <c:pt idx="3">
                  <c:v>2.48</c:v>
                </c:pt>
                <c:pt idx="4">
                  <c:v>2.4500000000000002</c:v>
                </c:pt>
                <c:pt idx="5">
                  <c:v>2.0699999999999998</c:v>
                </c:pt>
                <c:pt idx="6">
                  <c:v>1.73</c:v>
                </c:pt>
                <c:pt idx="7">
                  <c:v>1.83</c:v>
                </c:pt>
                <c:pt idx="8">
                  <c:v>2.25</c:v>
                </c:pt>
                <c:pt idx="9">
                  <c:v>2.36</c:v>
                </c:pt>
              </c:numCache>
            </c:numRef>
          </c:val>
          <c:smooth val="0"/>
          <c:extLst>
            <c:ext xmlns:c16="http://schemas.microsoft.com/office/drawing/2014/chart" uri="{C3380CC4-5D6E-409C-BE32-E72D297353CC}">
              <c16:uniqueId val="{00000001-6378-4EF2-A222-4975E3CA703A}"/>
            </c:ext>
          </c:extLst>
        </c:ser>
        <c:dLbls>
          <c:showLegendKey val="0"/>
          <c:showVal val="0"/>
          <c:showCatName val="0"/>
          <c:showSerName val="0"/>
          <c:showPercent val="0"/>
          <c:showBubbleSize val="0"/>
        </c:dLbls>
        <c:marker val="1"/>
        <c:smooth val="0"/>
        <c:axId val="1148311551"/>
        <c:axId val="1192267311"/>
      </c:lineChart>
      <c:catAx>
        <c:axId val="1148311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2267311"/>
        <c:crosses val="autoZero"/>
        <c:auto val="1"/>
        <c:lblAlgn val="ctr"/>
        <c:lblOffset val="100"/>
        <c:noMultiLvlLbl val="0"/>
      </c:catAx>
      <c:valAx>
        <c:axId val="1192267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净息差（</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8311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招行兴业生息资产平均收益率对比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Sheet1!$A$10</c:f>
              <c:strCache>
                <c:ptCount val="1"/>
                <c:pt idx="0">
                  <c:v>招行生息资产平均收益率（%）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Sheet1!$D$1:$K$1</c:f>
              <c:numCache>
                <c:formatCode>General</c:formatCode>
                <c:ptCount val="8"/>
                <c:pt idx="0">
                  <c:v>2013</c:v>
                </c:pt>
                <c:pt idx="1">
                  <c:v>2014</c:v>
                </c:pt>
                <c:pt idx="2">
                  <c:v>2015</c:v>
                </c:pt>
                <c:pt idx="3">
                  <c:v>2016</c:v>
                </c:pt>
                <c:pt idx="4">
                  <c:v>2017</c:v>
                </c:pt>
                <c:pt idx="5">
                  <c:v>2018</c:v>
                </c:pt>
                <c:pt idx="6">
                  <c:v>2019</c:v>
                </c:pt>
                <c:pt idx="7">
                  <c:v>2020</c:v>
                </c:pt>
              </c:numCache>
            </c:numRef>
          </c:cat>
          <c:val>
            <c:numRef>
              <c:f>Sheet1!$D$10:$K$10</c:f>
              <c:numCache>
                <c:formatCode>General</c:formatCode>
                <c:ptCount val="8"/>
                <c:pt idx="0">
                  <c:v>4.95</c:v>
                </c:pt>
                <c:pt idx="1">
                  <c:v>5.0199999999999996</c:v>
                </c:pt>
                <c:pt idx="2">
                  <c:v>4.72</c:v>
                </c:pt>
                <c:pt idx="3">
                  <c:v>4</c:v>
                </c:pt>
                <c:pt idx="4">
                  <c:v>4.0599999999999996</c:v>
                </c:pt>
                <c:pt idx="5">
                  <c:v>4.34</c:v>
                </c:pt>
                <c:pt idx="6">
                  <c:v>4.38</c:v>
                </c:pt>
                <c:pt idx="7">
                  <c:v>4.13</c:v>
                </c:pt>
              </c:numCache>
            </c:numRef>
          </c:val>
          <c:smooth val="0"/>
          <c:extLst>
            <c:ext xmlns:c16="http://schemas.microsoft.com/office/drawing/2014/chart" uri="{C3380CC4-5D6E-409C-BE32-E72D297353CC}">
              <c16:uniqueId val="{00000000-70BF-44E7-A08E-2F6B10BCB2BE}"/>
            </c:ext>
          </c:extLst>
        </c:ser>
        <c:ser>
          <c:idx val="1"/>
          <c:order val="1"/>
          <c:tx>
            <c:strRef>
              <c:f>Sheet1!$A$11</c:f>
              <c:strCache>
                <c:ptCount val="1"/>
                <c:pt idx="0">
                  <c:v>兴业生息资产平均收益率（%）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Sheet1!$D$1:$K$1</c:f>
              <c:numCache>
                <c:formatCode>General</c:formatCode>
                <c:ptCount val="8"/>
                <c:pt idx="0">
                  <c:v>2013</c:v>
                </c:pt>
                <c:pt idx="1">
                  <c:v>2014</c:v>
                </c:pt>
                <c:pt idx="2">
                  <c:v>2015</c:v>
                </c:pt>
                <c:pt idx="3">
                  <c:v>2016</c:v>
                </c:pt>
                <c:pt idx="4">
                  <c:v>2017</c:v>
                </c:pt>
                <c:pt idx="5">
                  <c:v>2018</c:v>
                </c:pt>
                <c:pt idx="6">
                  <c:v>2019</c:v>
                </c:pt>
                <c:pt idx="7">
                  <c:v>2020</c:v>
                </c:pt>
              </c:numCache>
            </c:numRef>
          </c:cat>
          <c:val>
            <c:numRef>
              <c:f>Sheet1!$D$11:$K$11</c:f>
              <c:numCache>
                <c:formatCode>General</c:formatCode>
                <c:ptCount val="8"/>
                <c:pt idx="0">
                  <c:v>5.39</c:v>
                </c:pt>
                <c:pt idx="1">
                  <c:v>5.69</c:v>
                </c:pt>
                <c:pt idx="2">
                  <c:v>5.24</c:v>
                </c:pt>
                <c:pt idx="3">
                  <c:v>4.4000000000000004</c:v>
                </c:pt>
                <c:pt idx="4">
                  <c:v>4.25</c:v>
                </c:pt>
                <c:pt idx="5">
                  <c:v>4.4400000000000004</c:v>
                </c:pt>
                <c:pt idx="6">
                  <c:v>4.62</c:v>
                </c:pt>
                <c:pt idx="7">
                  <c:v>4.47</c:v>
                </c:pt>
              </c:numCache>
            </c:numRef>
          </c:val>
          <c:smooth val="0"/>
          <c:extLst>
            <c:ext xmlns:c16="http://schemas.microsoft.com/office/drawing/2014/chart" uri="{C3380CC4-5D6E-409C-BE32-E72D297353CC}">
              <c16:uniqueId val="{00000001-70BF-44E7-A08E-2F6B10BCB2BE}"/>
            </c:ext>
          </c:extLst>
        </c:ser>
        <c:dLbls>
          <c:showLegendKey val="0"/>
          <c:showVal val="0"/>
          <c:showCatName val="0"/>
          <c:showSerName val="0"/>
          <c:showPercent val="0"/>
          <c:showBubbleSize val="0"/>
        </c:dLbls>
        <c:marker val="1"/>
        <c:smooth val="0"/>
        <c:axId val="1190856047"/>
        <c:axId val="989048479"/>
      </c:lineChart>
      <c:catAx>
        <c:axId val="1190856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9048479"/>
        <c:crosses val="autoZero"/>
        <c:auto val="1"/>
        <c:lblAlgn val="ctr"/>
        <c:lblOffset val="100"/>
        <c:noMultiLvlLbl val="0"/>
      </c:catAx>
      <c:valAx>
        <c:axId val="9890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生息资产平均收益率（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856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招商银行生息资产结构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1"/>
          <c:order val="0"/>
          <c:tx>
            <c:strRef>
              <c:f>Sheet1!$A$33</c:f>
              <c:strCache>
                <c:ptCount val="1"/>
                <c:pt idx="0">
                  <c:v>招行贷款</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(Sheet1!$D$33,Sheet1!$G$33,Sheet1!$J$33,Sheet1!$M$33,Sheet1!$P$33)</c:f>
              <c:numCache>
                <c:formatCode>0.00%</c:formatCode>
                <c:ptCount val="5"/>
                <c:pt idx="0">
                  <c:v>0.57110359116586351</c:v>
                </c:pt>
                <c:pt idx="1">
                  <c:v>0.58801820332882981</c:v>
                </c:pt>
                <c:pt idx="2">
                  <c:v>0.61251292440776706</c:v>
                </c:pt>
                <c:pt idx="3">
                  <c:v>0.64124645407908143</c:v>
                </c:pt>
                <c:pt idx="4">
                  <c:v>0.64807619261573657</c:v>
                </c:pt>
              </c:numCache>
            </c:numRef>
          </c:val>
          <c:extLst>
            <c:ext xmlns:c16="http://schemas.microsoft.com/office/drawing/2014/chart" uri="{C3380CC4-5D6E-409C-BE32-E72D297353CC}">
              <c16:uniqueId val="{00000000-C58C-4B8B-BB70-D2AC4E80904F}"/>
            </c:ext>
          </c:extLst>
        </c:ser>
        <c:ser>
          <c:idx val="2"/>
          <c:order val="1"/>
          <c:tx>
            <c:strRef>
              <c:f>Sheet1!$A$34</c:f>
              <c:strCache>
                <c:ptCount val="1"/>
                <c:pt idx="0">
                  <c:v>招行投资</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(Sheet1!$D$34,Sheet1!$G$34,Sheet1!$J$34,Sheet1!$M$34,Sheet1!$P$34)</c:f>
              <c:numCache>
                <c:formatCode>0.00%</c:formatCode>
                <c:ptCount val="5"/>
                <c:pt idx="0">
                  <c:v>0.24150635925176708</c:v>
                </c:pt>
                <c:pt idx="1">
                  <c:v>0.24007102201068917</c:v>
                </c:pt>
                <c:pt idx="2">
                  <c:v>0.20479131434961945</c:v>
                </c:pt>
                <c:pt idx="3">
                  <c:v>0.19959657558624569</c:v>
                </c:pt>
                <c:pt idx="4">
                  <c:v>0.20339958651607615</c:v>
                </c:pt>
              </c:numCache>
            </c:numRef>
          </c:val>
          <c:extLst>
            <c:ext xmlns:c16="http://schemas.microsoft.com/office/drawing/2014/chart" uri="{C3380CC4-5D6E-409C-BE32-E72D297353CC}">
              <c16:uniqueId val="{00000001-C58C-4B8B-BB70-D2AC4E80904F}"/>
            </c:ext>
          </c:extLst>
        </c:ser>
        <c:ser>
          <c:idx val="3"/>
          <c:order val="2"/>
          <c:tx>
            <c:strRef>
              <c:f>Sheet1!$A$35</c:f>
              <c:strCache>
                <c:ptCount val="1"/>
                <c:pt idx="0">
                  <c:v>招行存放央行</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(Sheet1!$D$35,Sheet1!$G$35,Sheet1!$J$35,Sheet1!$M$35,Sheet1!$P$35)</c:f>
              <c:numCache>
                <c:formatCode>0.00%</c:formatCode>
                <c:ptCount val="5"/>
                <c:pt idx="0">
                  <c:v>0.1034925656155868</c:v>
                </c:pt>
                <c:pt idx="1">
                  <c:v>9.496093336893148E-2</c:v>
                </c:pt>
                <c:pt idx="2">
                  <c:v>8.1787461807244138E-2</c:v>
                </c:pt>
                <c:pt idx="3">
                  <c:v>7.3802989627830953E-2</c:v>
                </c:pt>
                <c:pt idx="4">
                  <c:v>6.5849471375032234E-2</c:v>
                </c:pt>
              </c:numCache>
            </c:numRef>
          </c:val>
          <c:extLst>
            <c:ext xmlns:c16="http://schemas.microsoft.com/office/drawing/2014/chart" uri="{C3380CC4-5D6E-409C-BE32-E72D297353CC}">
              <c16:uniqueId val="{00000002-C58C-4B8B-BB70-D2AC4E80904F}"/>
            </c:ext>
          </c:extLst>
        </c:ser>
        <c:ser>
          <c:idx val="0"/>
          <c:order val="3"/>
          <c:tx>
            <c:strRef>
              <c:f>Sheet1!$A$36</c:f>
              <c:strCache>
                <c:ptCount val="1"/>
                <c:pt idx="0">
                  <c:v>招行存放同业和其他机构</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(Sheet1!$D$36,Sheet1!$G$36,Sheet1!$J$36,Sheet1!$M$36,Sheet1!$P$36)</c:f>
              <c:numCache>
                <c:formatCode>0.00%</c:formatCode>
                <c:ptCount val="5"/>
                <c:pt idx="0">
                  <c:v>8.3897483966782663E-2</c:v>
                </c:pt>
                <c:pt idx="1">
                  <c:v>7.6949841291549401E-2</c:v>
                </c:pt>
                <c:pt idx="2">
                  <c:v>0.1009082994353693</c:v>
                </c:pt>
                <c:pt idx="3">
                  <c:v>8.5353980706841776E-2</c:v>
                </c:pt>
                <c:pt idx="4">
                  <c:v>8.2674749493155023E-2</c:v>
                </c:pt>
              </c:numCache>
            </c:numRef>
          </c:val>
          <c:extLst>
            <c:ext xmlns:c16="http://schemas.microsoft.com/office/drawing/2014/chart" uri="{C3380CC4-5D6E-409C-BE32-E72D297353CC}">
              <c16:uniqueId val="{00000003-C58C-4B8B-BB70-D2AC4E80904F}"/>
            </c:ext>
          </c:extLst>
        </c:ser>
        <c:dLbls>
          <c:dLblPos val="ctr"/>
          <c:showLegendKey val="0"/>
          <c:showVal val="1"/>
          <c:showCatName val="0"/>
          <c:showSerName val="0"/>
          <c:showPercent val="0"/>
          <c:showBubbleSize val="0"/>
        </c:dLbls>
        <c:gapWidth val="150"/>
        <c:overlap val="100"/>
        <c:axId val="1148306351"/>
        <c:axId val="1070008879"/>
      </c:barChart>
      <c:catAx>
        <c:axId val="1148306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0008879"/>
        <c:crosses val="autoZero"/>
        <c:auto val="1"/>
        <c:lblAlgn val="ctr"/>
        <c:lblOffset val="100"/>
        <c:noMultiLvlLbl val="0"/>
      </c:catAx>
      <c:valAx>
        <c:axId val="10700088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8306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兴业银行生息资产结构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1"/>
          <c:order val="0"/>
          <c:tx>
            <c:strRef>
              <c:f>Sheet1!$A$38</c:f>
              <c:strCache>
                <c:ptCount val="1"/>
                <c:pt idx="0">
                  <c:v>兴业贷款</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(Sheet1!$D$38,Sheet1!$G$38,Sheet1!$J$38,Sheet1!$M$38,Sheet1!$P$38)</c:f>
              <c:numCache>
                <c:formatCode>0.00%</c:formatCode>
                <c:ptCount val="5"/>
                <c:pt idx="0">
                  <c:v>0.37047077730271089</c:v>
                </c:pt>
                <c:pt idx="1">
                  <c:v>0.39152641346774103</c:v>
                </c:pt>
                <c:pt idx="2">
                  <c:v>0.44913427766852054</c:v>
                </c:pt>
                <c:pt idx="3">
                  <c:v>0.52933381983928929</c:v>
                </c:pt>
                <c:pt idx="4">
                  <c:v>0.56261279776691464</c:v>
                </c:pt>
              </c:numCache>
            </c:numRef>
          </c:val>
          <c:extLst>
            <c:ext xmlns:c16="http://schemas.microsoft.com/office/drawing/2014/chart" uri="{C3380CC4-5D6E-409C-BE32-E72D297353CC}">
              <c16:uniqueId val="{00000000-4F37-41F8-92B7-45DDFEB5BA34}"/>
            </c:ext>
          </c:extLst>
        </c:ser>
        <c:ser>
          <c:idx val="2"/>
          <c:order val="1"/>
          <c:tx>
            <c:strRef>
              <c:f>Sheet1!$A$39</c:f>
              <c:strCache>
                <c:ptCount val="1"/>
                <c:pt idx="0">
                  <c:v>兴业投资</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(Sheet1!$D$39,Sheet1!$G$39,Sheet1!$J$39,Sheet1!$M$39,Sheet1!$P$39)</c:f>
              <c:numCache>
                <c:formatCode>0.00%</c:formatCode>
                <c:ptCount val="5"/>
                <c:pt idx="0">
                  <c:v>0.505065690191283</c:v>
                </c:pt>
                <c:pt idx="1">
                  <c:v>0.49411340914042845</c:v>
                </c:pt>
                <c:pt idx="2">
                  <c:v>0.43094469522902179</c:v>
                </c:pt>
                <c:pt idx="3">
                  <c:v>0.342362571620697</c:v>
                </c:pt>
                <c:pt idx="4">
                  <c:v>0.30434653039299187</c:v>
                </c:pt>
              </c:numCache>
            </c:numRef>
          </c:val>
          <c:extLst>
            <c:ext xmlns:c16="http://schemas.microsoft.com/office/drawing/2014/chart" uri="{C3380CC4-5D6E-409C-BE32-E72D297353CC}">
              <c16:uniqueId val="{00000001-4F37-41F8-92B7-45DDFEB5BA34}"/>
            </c:ext>
          </c:extLst>
        </c:ser>
        <c:ser>
          <c:idx val="3"/>
          <c:order val="2"/>
          <c:tx>
            <c:strRef>
              <c:f>Sheet1!$A$41</c:f>
              <c:strCache>
                <c:ptCount val="1"/>
                <c:pt idx="0">
                  <c:v>兴业存放同业和其他机构</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Sheet1!$G$1:$K$1</c:f>
              <c:numCache>
                <c:formatCode>General</c:formatCode>
                <c:ptCount val="5"/>
                <c:pt idx="0">
                  <c:v>2016</c:v>
                </c:pt>
                <c:pt idx="1">
                  <c:v>2017</c:v>
                </c:pt>
                <c:pt idx="2">
                  <c:v>2018</c:v>
                </c:pt>
                <c:pt idx="3">
                  <c:v>2019</c:v>
                </c:pt>
                <c:pt idx="4">
                  <c:v>2020</c:v>
                </c:pt>
              </c:numCache>
            </c:numRef>
          </c:cat>
          <c:val>
            <c:numRef>
              <c:f>(Sheet1!$D$41,Sheet1!$G$41,Sheet1!$J$41,Sheet1!$M$41,Sheet1!$P$41)</c:f>
              <c:numCache>
                <c:formatCode>0.00%</c:formatCode>
                <c:ptCount val="5"/>
                <c:pt idx="0">
                  <c:v>4.8397585836239931E-2</c:v>
                </c:pt>
                <c:pt idx="1">
                  <c:v>3.6629088201252401E-2</c:v>
                </c:pt>
                <c:pt idx="2">
                  <c:v>4.875228774278164E-2</c:v>
                </c:pt>
                <c:pt idx="3">
                  <c:v>6.2276474478253477E-2</c:v>
                </c:pt>
                <c:pt idx="4">
                  <c:v>7.6823566720514103E-2</c:v>
                </c:pt>
              </c:numCache>
            </c:numRef>
          </c:val>
          <c:extLst>
            <c:ext xmlns:c16="http://schemas.microsoft.com/office/drawing/2014/chart" uri="{C3380CC4-5D6E-409C-BE32-E72D297353CC}">
              <c16:uniqueId val="{00000002-4F37-41F8-92B7-45DDFEB5BA34}"/>
            </c:ext>
          </c:extLst>
        </c:ser>
        <c:ser>
          <c:idx val="0"/>
          <c:order val="3"/>
          <c:tx>
            <c:strRef>
              <c:f>Sheet1!$A$40</c:f>
              <c:strCache>
                <c:ptCount val="1"/>
                <c:pt idx="0">
                  <c:v>兴业存放央行</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(Sheet1!$D$40,Sheet1!$G$40,Sheet1!$J$40,Sheet1!$M$40,Sheet1!$P$40)</c:f>
              <c:numCache>
                <c:formatCode>0.00%</c:formatCode>
                <c:ptCount val="5"/>
                <c:pt idx="0">
                  <c:v>7.6065946669766182E-2</c:v>
                </c:pt>
                <c:pt idx="1">
                  <c:v>7.7731089190578084E-2</c:v>
                </c:pt>
                <c:pt idx="2">
                  <c:v>7.1168739359676145E-2</c:v>
                </c:pt>
                <c:pt idx="3">
                  <c:v>6.6027134061760265E-2</c:v>
                </c:pt>
                <c:pt idx="4">
                  <c:v>5.6217105119579371E-2</c:v>
                </c:pt>
              </c:numCache>
            </c:numRef>
          </c:val>
          <c:extLst>
            <c:ext xmlns:c16="http://schemas.microsoft.com/office/drawing/2014/chart" uri="{C3380CC4-5D6E-409C-BE32-E72D297353CC}">
              <c16:uniqueId val="{00000003-4F37-41F8-92B7-45DDFEB5BA34}"/>
            </c:ext>
          </c:extLst>
        </c:ser>
        <c:dLbls>
          <c:dLblPos val="ctr"/>
          <c:showLegendKey val="0"/>
          <c:showVal val="1"/>
          <c:showCatName val="0"/>
          <c:showSerName val="0"/>
          <c:showPercent val="0"/>
          <c:showBubbleSize val="0"/>
        </c:dLbls>
        <c:gapWidth val="150"/>
        <c:overlap val="100"/>
        <c:axId val="1148306351"/>
        <c:axId val="1070008879"/>
      </c:barChart>
      <c:catAx>
        <c:axId val="1148306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0008879"/>
        <c:crosses val="autoZero"/>
        <c:auto val="1"/>
        <c:lblAlgn val="ctr"/>
        <c:lblOffset val="100"/>
        <c:noMultiLvlLbl val="0"/>
      </c:catAx>
      <c:valAx>
        <c:axId val="10700088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out"/>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8306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3825</TotalTime>
  <Pages>23</Pages>
  <Words>4615</Words>
  <Characters>4755</Characters>
  <Application>Microsoft Office Word</Application>
  <DocSecurity>0</DocSecurity>
  <Lines>182</Lines>
  <Paragraphs>73</Paragraphs>
  <ScaleCrop>false</ScaleCrop>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xiangyu</dc:creator>
  <cp:keywords/>
  <dc:description/>
  <cp:lastModifiedBy>zeng xiangyu</cp:lastModifiedBy>
  <cp:revision>352</cp:revision>
  <dcterms:created xsi:type="dcterms:W3CDTF">2021-06-02T14:49:00Z</dcterms:created>
  <dcterms:modified xsi:type="dcterms:W3CDTF">2021-06-13T12:25:00Z</dcterms:modified>
</cp:coreProperties>
</file>