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memorycare-go-to-market-v2"/>
      </w:pPr>
      <w:bookmarkStart w:id="0" w:name="memorycare_go_to_market_v2"/>
      <w:r>
        <w:t>MemoryCare — Go-to-Market v2 (пошаговый)</w:t>
      </w:r>
      <w:bookmarkEnd w:id="0"/>
    </w:p>
    <w:p>
      <w:r>
        <w:t>06.08.2026 (вечер) · Горизонт 16 недель · Обновление v1: слоган, Экспресс 60 000 с зачётом, CAC-лестница, Америабанк, «Семейный круг», решения совета. Владелец каждого шага и критерий «сделано» указаны.</w:t>
      </w:r>
    </w:p>
    <w:p>
      <w:pPr>
        <w:pStyle w:val="Heading2"/>
        <ck:id v="section"/>
      </w:pPr>
      <w:bookmarkStart w:id="1" w:name="section"/>
      <w:r>
        <w:t>Принцип</w:t>
      </w:r>
      <w:bookmarkEnd w:id="1"/>
    </w:p>
    <w:p>
      <w:r>
        <w:t>Продажа строится на доверии, доверие — на доказательствах. Ни одного платного объявления, пока нет: основания работать на кладбище (цель — договор с оператором), 3+ реальных фото/видеоотчётов, реальных контактов и работающего платежа зарубежной картой.</w:t>
      </w:r>
    </w:p>
    <w:p>
      <w:pPr>
        <w:pStyle w:val="Heading2"/>
        <ck:id v="0-12"/>
      </w:pPr>
      <w:bookmarkStart w:id="2" w:name="_0_12"/>
      <w:r>
        <w:t>Этап 0 · Недели 1–2 — Ворота</w:t>
      </w:r>
      <w:bookmarkEnd w:id="2"/>
    </w:p>
    <w:p>
      <w:r>
        <w:t>Шаг 1 (юрист, контакт ≤1 недели). Переговоры с оператором кладбища; цель — рамочный договор: право работ, въезд авто, вода, вывоз мусора, съёмка, статус vs смотрители. Критерий: договор или письменная позиция оператора на руках. Шаг 2 (юрист, эта неделя). Подписи договоров дизайнера и программистов: вехи, приёмка, права на код/макеты по мере оплаты, исходники (git, Figma) как условие приёмки. Шаг 3 (Давид, 07.08). Америабанк: интернет-эквайринг, иностранные Visa/MC, комиссии, чарджбэк-процедура. Критерий: тестовый платёж картой США/ЕС прошёл. Шаг 4 (юрист, до 13.08). Налоговый меморандум: режим 10%, касса/фискализация, учёт годовой предоплаты. Шаг 5 (Хайк, до 20.08). Бухгалтер нанят; до найма первичка у юриста. Шаг 6 (Хайк, эта неделя). Реальный телефон + info@memorycare.am + реквизиты на сайте. Шаг 7 (юрист, до пилота). Страхование ГО + резерв 500 000 ֏; юрпакет платформы: оферта США/ЕС, privacy EN/FR, согласия субаккаунтов.</w:t>
      </w:r>
    </w:p>
    <w:p>
      <w:pPr>
        <w:pStyle w:val="Heading2"/>
        <ck:id v="1-27"/>
      </w:pPr>
      <w:bookmarkStart w:id="3" w:name="_1_27"/>
      <w:r>
        <w:t>Этап 1 · Недели 2–7 — Продукт и материалы доверия</w:t>
      </w:r>
      <w:bookmarkEnd w:id="3"/>
    </w:p>
    <w:p>
      <w:r>
        <w:t xml:space="preserve">Шаг 8 (дизайнер, ~4 недели). Полный дизайн: лого-вектор, брендбук со слоганом «Honoring Memory, Caring for Loved Ones.», шаблон отчёта, форма, оклейка авто, соцсети. Заполненный бриф передан 06.08; дизайнер свободен в решениях, неприкосновенно только название MemoryCare. Шаг 9 (программисты, ~6–7 недель). Платформа: </w:t>
      </w:r>
      <w:r>
        <w:rPr>
          <w:b/>
        </w:rPr>
        <w:t>4 продукта</w:t>
      </w:r>
      <w:r>
        <w:t xml:space="preserve"> — Зннум 20 000 (осмотр + отчёт + список работ; зачёт в пакет за 30 дней; GPS-метка участка в карточку), Экспресс 60 000 (зачёт 60 дней; повторный 40 000), Оптимальный 180 000, Максимум 240 000 (3Т+6Л); оплата международными картами, кабинет, отчёты фото/видео/GPS, </w:t>
      </w:r>
      <w:r>
        <w:rPr>
          <w:b/>
        </w:rPr>
        <w:t>3 языка (ARM/ENG/RUS)</w:t>
      </w:r>
      <w:r>
        <w:t>, «Семейный круг» (инвайты; реферальная награда — «цветы к памятной дате» с фотоотчётом), юрпакет, «визит не закрывается без GPS и 4 ракурсов». Главный CTA — заявка на консультацию. Критерий: клиент из США оставляет заявку И может оплатить картой. Шаг 10 (Хайк). Наём 2 мастеров пилота (документ 16), трудовое оформление до первого выхода. Обучение по протоколу визита (документ 15), 2 тренировочных визита. Шаг 11 (Хайк). Сбор цен 5–10 частников — якорь для маркетинга.</w:t>
      </w:r>
    </w:p>
    <w:p>
      <w:pPr>
        <w:pStyle w:val="Heading2"/>
        <ck:id v="2-710"/>
      </w:pPr>
      <w:bookmarkStart w:id="4" w:name="_2_710"/>
      <w:r>
        <w:t>Этап 2 · Недели 7–10 — Пилот (сентябрь)</w:t>
      </w:r>
      <w:bookmarkEnd w:id="4"/>
    </w:p>
    <w:p>
      <w:r>
        <w:t>Шаг 12. 5–10 платных визитов по полной цене составом «Хайк + 2 мастера», ≥1–2 клиента диаспоры (из 17 респондентов опроса + личная сеть). Каждый визит — по протоколу, отчёт через платформу. Шаг 13. С каждого клиента: разрешение на кейс + короткий отзыв (видео/голос/текст). Критерий этапа: 3+ публикуемых кейса «до/после», 2+ отзыва, 1+ диаспоральный. Шаг 14. Разбор пилота: фактическое время визита (проверка 2,5 точки/день на 3-чел состав), расходники, реакция кладбища, себестоимость факта vs модель, решение по марже «Максимума» и по предложению «плати после первого отчёта».</w:t>
      </w:r>
    </w:p>
    <w:p>
      <w:pPr>
        <w:pStyle w:val="Heading2"/>
        <ck:id v="3-1013"/>
      </w:pPr>
      <w:bookmarkStart w:id="5" w:name="_3_1013"/>
      <w:r>
        <w:t>Этап 3 · Недели 10–13 — Мягкий запуск</w:t>
      </w:r>
      <w:bookmarkEnd w:id="5"/>
    </w:p>
    <w:p>
      <w:r>
        <w:t xml:space="preserve">Шаг 15. Сайт: кейсы, отзывы, основание работы на кладбище, «как это работает», якорь цены. </w:t>
      </w:r>
      <w:r>
        <w:rPr>
          <w:b/>
        </w:rPr>
        <w:t>Витрина входа — «Зннум» 20 000</w:t>
      </w:r>
      <w:r>
        <w:t xml:space="preserve">: «не уверены? начните с осмотра — увидите состояние и получите план работ; сумма зачтётся при покупке пакета»; рядом — зачёт Экспресса. Шаг 16. Органический посев по диаспоральным группам (готовые списки) — посты с кейсами от личных профилей, 3–4 группы/день, языки по стране; в клиентских текстах — «ընտանեկան սրբատեղի». Шаг 17. Партнёрства: 5 писем (церкви LA/Марсель/Москва, AGBU, медиа). Критерий: 1 подтверждённое партнёрство. Шаг 18. «Семейный круг» в маркетинге: приглашение родни в момент доставки отчёта, шеринг WhatsApp/Viber одним тапом. </w:t>
      </w:r>
      <w:r>
        <w:rPr>
          <w:b/>
        </w:rPr>
        <w:t>Реферальная награда (решение 07.08): сервис-подарок «цветы к памятной дате» с фотоотчётом</w:t>
      </w:r>
      <w:r>
        <w:t xml:space="preserve"> (себестоимость ~3–5 тыс. ֏; прежний «лёгкий визит обоим» отменён). Цель: K-фактор ≥0,3 к концу квартала. Шаг 19. Аналитика: UTM, CRM-источник каждого лида, еженедельный дашборд (лиды → оплаты → CAC по каналу; отдельно — конверсия Зннум→пакет и Экспресс→подписка).</w:t>
      </w:r>
    </w:p>
    <w:p>
      <w:pPr>
        <w:pStyle w:val="Heading2"/>
        <ck:id v="4-1316-cac"/>
      </w:pPr>
      <w:bookmarkStart w:id="6" w:name="_4_1316_cac"/>
      <w:r>
        <w:t>Этап 4 · Недели 13–16 — Платный маркетинг (CAC-лестница)</w:t>
      </w:r>
      <w:bookmarkEnd w:id="6"/>
    </w:p>
    <w:p>
      <w:r>
        <w:t xml:space="preserve">Шаг 20. Бюджет по лестнице: 146 тыс. ֏/мес до мес 4 → $1 500/мес с мес 5 → $4 000/мес в Год 2 → 10% выручки Годы 3–5. Ступень открывается только при blended CAC ≤ 25 000 ֏ и NPS когорт ≥8; канал с CAC &gt;45 000 ֏ два месяца подряд — закрывается. Шаг 21. Каналы: Meta (гео-диаспора США/Франция/Германия; в объявлениях для США — категорийный дескриптор, минус-слова от «memory care» как ухода за деменцией), Google Search (бренд + тематические запросы на </w:t>
      </w:r>
      <w:r>
        <w:rPr>
          <w:b/>
        </w:rPr>
        <w:t>3 языках ARM/ENG/RUS</w:t>
      </w:r>
      <w:r>
        <w:t>; франкоязычная диаспора — через EN до добавления FR), ретаргетинг; РФ — Telegram-каналы диаспоры. Шаг 22. Криейтивы: видеоотчёт как продукт, кейс до/после, отзыв диаспоры, «Семейный круг». В клиентских текстах — терминология «ընտանեկան սրբատեղի» (семейное святое место), не «могила». Шаг 23. Еженедельный понедельничный разбор: цифры по каналам → масштабировать/чинить/убить. Kill-критерий в силе: &lt;40 платящих к месяцу 4 после запуска — стоп и пересборка.</w:t>
      </w:r>
    </w:p>
    <w:p>
      <w:pPr>
        <w:pStyle w:val="Heading2"/>
        <ck:id v="section-1"/>
      </w:pPr>
      <w:bookmarkStart w:id="7" w:name="section_1"/>
      <w:r>
        <w:t>Сезонный календарь</w:t>
      </w:r>
      <w:bookmarkEnd w:id="7"/>
    </w:p>
    <w:p>
      <w:r>
        <w:t>Мерелоц (поминальные дни) · Задик/Пасха · Вардавар · 24 апреля · Новый год (пик приездов — офлайн-контакт). За 3 недели до даты — email + соцсети + сезонное предложение.</w:t>
      </w:r>
    </w:p>
    <w:p>
      <w:pPr>
        <w:pStyle w:val="Heading2"/>
        <ck:id v="section-2"/>
      </w:pPr>
      <w:bookmarkStart w:id="8" w:name="section_2"/>
      <w:r>
        <w:t>Чего НЕ делаем</w:t>
      </w:r>
      <w:bookmarkEnd w:id="8"/>
    </w:p>
    <w:p>
      <w:r>
        <w:t>QR-продукт в публичных материалах · скидки на пилоте · платный трафик до материалов доверия · «визит к дате» как отдельный оффер (не принято) · «плати после первого отчёта» без решения владельца · второй город в Год 1.</w:t>
      </w:r>
    </w:p>
    <w:p>
      <w:pPr>
        <w:pStyle w:val="Heading2"/>
        <ck:id v="16"/>
      </w:pPr>
      <w:bookmarkStart w:id="9" w:name="_16"/>
      <w:r>
        <w:t>Цели 16 недель</w:t>
      </w:r>
      <w:bookmarkEnd w:id="9"/>
    </w:p>
    <w:p>
      <w:r>
        <w:t xml:space="preserve">Договор/позиция кладбища · платформа принята · пилот: 5–10 визитов, 3+ кейса, 1+ диаспора · 1 партнёрство · CAC ≤ 25 000 ֏. </w:t>
      </w:r>
      <w:r>
        <w:rPr>
          <w:b/>
        </w:rPr>
        <w:t>Базовый план: 30–50 оплаченных подписок к концу недели 16 (по нему считаются финмодель и kill-критерий). Амбициозная цель команды (решение 06.08): 90+ платящих и конверсия заявка→оплата ≥40%.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