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memorycare-25-v2"/>
      </w:pPr>
      <w:bookmarkStart w:id="0" w:name="memorycare_25_v2"/>
      <w:r>
        <w:t>MemoryCare — Стратегия развития: Годы 2–5 (v2)</w:t>
      </w:r>
      <w:bookmarkEnd w:id="0"/>
    </w:p>
    <w:p>
      <w:r>
        <w:t>06.08.2026 (вечер) · База: модель v6.0, базовая кривая совета (+120/+90/+65/+50%), SAM-база 12–18 тыс. семей. Клиенты на конец года: 192 → 423 → 803 → 1 326 → 1 990 (пенетрация базы SAM ~13%).</w:t>
      </w:r>
    </w:p>
    <w:p>
      <w:pPr>
        <w:pStyle w:val="Heading2"/>
        <ck:id v="section"/>
      </w:pPr>
      <w:bookmarkStart w:id="1" w:name="section"/>
      <w:r>
        <w:t>Принцип</w:t>
      </w:r>
      <w:bookmarkEnd w:id="1"/>
    </w:p>
    <w:p>
      <w:r>
        <w:t>Один новый двигатель роста в год поверх доказанного предыдущего; вход в год — только через gate. Полевые команды нанимаются по триггеру ≥85%, управленческий слой с Года 3 — с опережением (консенсус совета).</w:t>
      </w:r>
    </w:p>
    <w:p>
      <w:pPr>
        <w:pStyle w:val="Heading2"/>
        <ck:id v="2-423-76-ebitda-36-2-2"/>
      </w:pPr>
      <w:bookmarkStart w:id="2" w:name="_2_423_76_ebitda_36_2_2"/>
      <w:r>
        <w:t>Год 2 (~423 клиента · выручка ~76 млн ֏ · EBITDA ≈ +$36 тыс. · 2 тяжёлые + 2 лёгкие команды)</w:t>
      </w:r>
      <w:bookmarkEnd w:id="2"/>
    </w:p>
    <w:p>
      <w:r>
        <w:rPr>
          <w:b/>
        </w:rPr>
        <w:t>Gate:</w:t>
      </w:r>
      <w:r>
        <w:t xml:space="preserve"> 150+ клиентов, продления ≥85%, пилотные когорты NPS ≥8, kill-критерий Года 1 не сработал. </w:t>
      </w:r>
      <w:r>
        <w:rPr>
          <w:b/>
        </w:rPr>
        <w:t>Двигатель — «Семейный круг» на полную мощность + партнёрская сеть.</w:t>
      </w:r>
      <w:r>
        <w:t xml:space="preserve"> Реферальный контур (K-фактор ≥0,3, конверсия субаккаунт→клиент ≥10%) становится главным дешёвым каналом; церкви/AGBU выходят из пилота в систему (цель 20% новых клиентов). Маркетинг $4 000/мес по лестнице. Также: QR-мемориал — запуск только отдельным решением владельца (техническая база готова); решение по «плати после первого отчёта» по данным пилота; пересмотр вопроса доплат за площадь (~6 мес после запуска); вторая тяжёлая команда — по триггеру (~середина года); факт-vs-план ежемесячно.</w:t>
      </w:r>
    </w:p>
    <w:p>
      <w:pPr>
        <w:pStyle w:val="Heading2"/>
        <ck:id v="3-803-145-ebitda-94-3-23"/>
      </w:pPr>
      <w:bookmarkStart w:id="3" w:name="_3_803_145_ebitda_94_3_23"/>
      <w:r>
        <w:t>Год 3 (~803 клиента · выручка ~145 млн ֏ · EBITDA ≈ +$94 тыс. · ПЕРЕХОД НА НДС · 3 тяжёлые + 2–3 лёгкие)</w:t>
      </w:r>
      <w:bookmarkEnd w:id="3"/>
    </w:p>
    <w:p>
      <w:r>
        <w:rPr>
          <w:b/>
        </w:rPr>
        <w:t>Gate:</w:t>
      </w:r>
      <w:r>
        <w:t xml:space="preserve"> Ереван прибыален 4 квартала подряд, процессы задокументированы, реферальный контур работает. </w:t>
      </w:r>
      <w:r>
        <w:rPr>
          <w:b/>
        </w:rPr>
        <w:t>Двигатель — второй город</w:t>
      </w:r>
      <w:r>
        <w:t xml:space="preserve"> (кандидат по данным заявок «не-Ереван» с платформы; базовые варианты: Гюмри или Эчмиадзин/Аштарак). Критерий: 40+ клиентов и операционный ноль за 6 месяцев, иначе сворачиваем. </w:t>
      </w:r>
      <w:r>
        <w:rPr>
          <w:b/>
        </w:rPr>
        <w:t>Критическое:</w:t>
      </w:r>
      <w:r>
        <w:t xml:space="preserve"> выручка пробивает 115 млн ֏ → НДС 20% + налог на прибыль 18%. Решение о ценах (поднимать ли на ~8–15% или поглощать) принимается в конце Года 2 — за год до перехода. Опережающий наём: диспетчер + супервайзер полевых команд. Также: долгосрочные пакеты (3–5 лет предоплаты со скидкой, немецкая модель Dauergrabpflege — юридическая упаковка через юриста), B2B-рефералы с ритуальными агентствами и мастерскими памятников.</w:t>
      </w:r>
    </w:p>
    <w:p>
      <w:pPr>
        <w:pStyle w:val="Heading2"/>
        <ck:id v="4-1-326-239-ebitda-174-45-34"/>
      </w:pPr>
      <w:bookmarkStart w:id="4" w:name="_4_1_326_239_ebitda_174_45_34"/>
      <w:r>
        <w:t>Год 4 (~1 326 клиентов · выручка ~239 млн ֏ · EBITDA ≈ +$174 тыс. · 4–5 тяжёлых + 3–4 лёгкие)</w:t>
      </w:r>
      <w:bookmarkEnd w:id="4"/>
    </w:p>
    <w:p>
      <w:r>
        <w:rPr>
          <w:b/>
        </w:rPr>
        <w:t>Gate:</w:t>
      </w:r>
      <w:r>
        <w:t xml:space="preserve"> 2 города прибыльны, НДС-переход пережит без потери маржи ниже 45% валовой, продления ≥80%. </w:t>
      </w:r>
      <w:r>
        <w:rPr>
          <w:b/>
        </w:rPr>
        <w:t>Двигатель — B2B и новые форматы:</w:t>
      </w:r>
      <w:r>
        <w:t xml:space="preserve"> корпоративно-общинные контракты (уход за секциями по договору с общинами/фондами — десятки участков одним контрактом), реставрация как отдельный прайс, подарочные сертификаты к сезонным датам. 3-й город при выполнении критериев.</w:t>
      </w:r>
    </w:p>
    <w:p>
      <w:pPr>
        <w:pStyle w:val="Heading2"/>
        <ck:id v="5-1-990-358-ebitda-277-6-5"/>
      </w:pPr>
      <w:bookmarkStart w:id="5" w:name="_5_1_990_358_ebitda_277_6_5"/>
      <w:r>
        <w:t>Год 5 (~1 990 клиентов · выручка ~358 млн ֏ · EBITDA ≈ +$277 тыс. · 6 тяжёлых + 5 лёгких)</w:t>
      </w:r>
      <w:bookmarkEnd w:id="5"/>
    </w:p>
    <w:p>
      <w:r>
        <w:rPr>
          <w:b/>
        </w:rPr>
        <w:t>Gate:</w:t>
      </w:r>
      <w:r>
        <w:t xml:space="preserve"> 3 города, операционный директор (не основатели в поле), стабильные продления. </w:t>
      </w:r>
      <w:r>
        <w:rPr>
          <w:b/>
        </w:rPr>
        <w:t>Двигатель — консолидация категории:</w:t>
      </w:r>
      <w:r>
        <w:t xml:space="preserve"> национальное покрытие (4–5 городов) и позиция «стандарт ухода за местами памяти в Армении». К концу года компания — актив с ~2 000 подписчиков, платформой, брендом и процессами: стратегическое решение владельца — расти дальше / дивиденды / продажа стратегу. (White-label для других диаспор — только при явном входящем интересе.)</w:t>
      </w:r>
    </w:p>
    <w:p>
      <w:pPr>
        <w:pStyle w:val="Heading2"/>
        <ck:id v="section-1"/>
      </w:pPr>
      <w:bookmarkStart w:id="6" w:name="section_1"/>
      <w:r>
        <w:t>Сквозные правила</w:t>
      </w:r>
      <w:bookmarkEnd w:id="6"/>
    </w:p>
    <w:p>
      <w:r>
        <w:t>Gate не пройден — год сдвигается, не отменяется. · Цены пересматриваются раз в год к сезону продлений (уведомление за 60 дней); отдельно — решение НДС-перехода в конце Года 2. · Маркетинг держится в 8–12% выручки. · Управленческий слой нанимается с опережением, полевой — по триггеру. · Ежегодная актуализация этого документа и модели фактом (декабрь, Хайк).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