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v2-06082026"/>
      </w:pPr>
      <w:bookmarkStart w:id="0" w:name="memorycare_v2_06082026"/>
      <w:r>
        <w:t>MemoryCare — Протокол решений v2 (06.08.2026, вечер)</w:t>
      </w:r>
      <w:bookmarkEnd w:id="0"/>
    </w:p>
    <w:p>
      <w:r>
        <w:t>Объединяет: правки владельца №1–11, решения по 18 спорным пунктам и решения по предложениям экспертного совета. Это операционная правда пакета v3. При конфликте с любым документом — главнее протокол.</w:t>
      </w:r>
    </w:p>
    <w:p>
      <w:pPr>
        <w:pStyle w:val="Heading2"/>
        <ck:id v="v3"/>
      </w:pPr>
      <w:bookmarkStart w:id="1" w:name="v3"/>
      <w:r>
        <w:t>Блок А — правки владельца (все внесены в пакет v3)</w:t>
      </w:r>
      <w:bookmarkEnd w:id="1"/>
    </w:p>
    <w:p>
      <w:r>
        <w:t xml:space="preserve">Слоган везде: </w:t>
      </w:r>
      <w:r>
        <w:rPr>
          <w:b/>
        </w:rPr>
        <w:t>«Honoring Memory, Caring for Loved Ones.»</w:t>
      </w:r>
      <w:r>
        <w:t xml:space="preserve"> (документы, сайт, бриф дизайнеру). · Экспресс = </w:t>
      </w:r>
      <w:r>
        <w:rPr>
          <w:b/>
        </w:rPr>
        <w:t>60 000 ֏ финально</w:t>
      </w:r>
      <w:r>
        <w:t xml:space="preserve">, продаётся как трайал с полным зачётом в подписку при апгрейде за 30–60 дней. · Тяжёлая команда = </w:t>
      </w:r>
      <w:r>
        <w:rPr>
          <w:b/>
        </w:rPr>
        <w:t>3 человека</w:t>
      </w:r>
      <w:r>
        <w:t xml:space="preserve">: водитель-мастер 400 000 + два мастера по 300 000, суммы </w:t>
      </w:r>
      <w:r>
        <w:rPr>
          <w:b/>
        </w:rPr>
        <w:t>net</w:t>
      </w:r>
      <w:r>
        <w:t xml:space="preserve"> («на руки»); в модели gross-up ×1,35 (уточнит бухгалтер). · Буферы и непредвиденные </w:t>
      </w:r>
      <w:r>
        <w:rPr>
          <w:b/>
        </w:rPr>
        <w:t>+40%</w:t>
      </w:r>
      <w:r>
        <w:t xml:space="preserve"> (102 200 / 30 660; резерв финансирования 28%). · Разовые затраты: дизайнер 1 000 000 (мес 1), программисты 1 200 000 (мес 1–2), контент/SMM/интеграции </w:t>
      </w:r>
      <w:r>
        <w:rPr>
          <w:b/>
        </w:rPr>
        <w:t>500 000, равными частями мес 1–3</w:t>
      </w:r>
      <w:r>
        <w:t xml:space="preserve">; всё — одноразовые платежи, в документах подчёркнуто. · Компания </w:t>
      </w:r>
      <w:r>
        <w:rPr>
          <w:b/>
        </w:rPr>
        <w:t>100% Давида</w:t>
      </w:r>
      <w:r>
        <w:t>, финансирование траншами по потребности, без лимита на старте; упоминания прежних договорённостей удалены из всех документов. · «Семейный круг»: субаккаунты родственников с запуска платформы — видят отчёты, заказывают разовые сервисы, могут стать клиентами. · SAM и кривая роста — см. блок В.</w:t>
      </w:r>
    </w:p>
    <w:p>
      <w:pPr>
        <w:pStyle w:val="Heading2"/>
        <ck:id v="18-14"/>
      </w:pPr>
      <w:bookmarkStart w:id="2" w:name="_18_14"/>
      <w:r>
        <w:t>Блок Б — решения по 18 пунктам (раунды 1–4)</w:t>
      </w:r>
      <w:bookmarkEnd w:id="2"/>
    </w:p>
    <w:p>
      <w:r>
        <w:t xml:space="preserve">Кладбище: дедлайн контакта — 1 неделя (юрист), при молчании — личный визит. · Налоговый меморандум юриста — до 13.08. · Договоры дизайнера/программистов составлены → </w:t>
      </w:r>
      <w:r>
        <w:rPr>
          <w:b/>
        </w:rPr>
        <w:t>подписать на этой неделе</w:t>
      </w:r>
      <w:r>
        <w:t xml:space="preserve"> (вехи, приёмка, права на код/макеты у компании). · Аренда/покупка авто — задача юристу. · Бухгалтер — наём до 20.08 (Хайк); до найма первичку собирает юрист. · Признание выручки (касса vs deferred) — вопрос №1 бухгалтеру. · Claude Max — платится с карты Давида → бухгалтер оформляет возмещение и перенос на счёт компании. · Эквайринг — </w:t>
      </w:r>
      <w:r>
        <w:rPr>
          <w:b/>
        </w:rPr>
        <w:t>Америабанк</w:t>
      </w:r>
      <w:r>
        <w:t>, Давид в банке 07.08; требования: иностранные Visa/MC, комиссии, чарджбэки, тестовый платёж из США/ЕС. · Контакты сайта (телефон + info@memorycare.am) — Хайк, эта неделя. · Поиск полевых сотрудников — запущен; трудовое оформление — до первого выхода, после закрытия вопроса кладбища. · Протокол визита и объявление о найме — подготовлены (документы 15–16).</w:t>
      </w:r>
    </w:p>
    <w:p>
      <w:pPr>
        <w:pStyle w:val="Heading2"/>
        <ck:id v="section"/>
      </w:pPr>
      <w:bookmarkStart w:id="3" w:name="section"/>
      <w:r>
        <w:t>Блок В — решения по предложениям совета (раунды А–В)</w:t>
      </w:r>
      <w:bookmarkEnd w:id="3"/>
    </w:p>
    <w:p>
      <w:r>
        <w:rPr>
          <w:b/>
        </w:rPr>
        <w:t>Принято:</w:t>
      </w:r>
    </w:p>
    <w:p>
      <w:pPr>
        <w:pStyle w:val="ListParagraph"/>
        <w:numPr>
          <w:ilvl w:val="0"/>
          <w:numId w:val="1"/>
        </w:numPr>
      </w:pPr>
      <w:r>
        <w:t xml:space="preserve">SAM: </w:t>
      </w:r>
      <w:r>
        <w:rPr>
          <w:b/>
        </w:rPr>
        <w:t>база 12–18 тыс. семей</w:t>
      </w:r>
      <w:r>
        <w:t xml:space="preserve"> (низ 6–8, верх 25–35) — вместо старых 5 000.</w:t>
      </w:r>
    </w:p>
    <w:p>
      <w:pPr>
        <w:pStyle w:val="ListParagraph"/>
        <w:numPr>
          <w:ilvl w:val="0"/>
          <w:numId w:val="1"/>
        </w:numPr>
      </w:pPr>
      <w:r>
        <w:t xml:space="preserve">Рост Y2–5: </w:t>
      </w:r>
      <w:r>
        <w:rPr>
          <w:b/>
        </w:rPr>
        <w:t>только базовая кривая совета +120/+90/+65/+50%</w:t>
      </w:r>
      <w:r>
        <w:t xml:space="preserve"> → 192 → 423 → 803 → 1 326 → 1 990 клиентов. (Кривая 200/160/120/90 не используется.)</w:t>
      </w:r>
    </w:p>
    <w:p>
      <w:pPr>
        <w:pStyle w:val="ListParagraph"/>
        <w:numPr>
          <w:ilvl w:val="0"/>
          <w:numId w:val="1"/>
        </w:numPr>
      </w:pPr>
      <w:r>
        <w:t xml:space="preserve">Маркетинг: </w:t>
      </w:r>
      <w:r>
        <w:rPr>
          <w:b/>
        </w:rPr>
        <w:t>CAC-лестница</w:t>
      </w:r>
      <w:r>
        <w:t xml:space="preserve"> — 146 тыс. ֏/мес (мес 1–4) → $1 500 (мес 5–12) → $4 000 (Год 2) → 10% выручки (Годы 3–5); ступень открывается при blended CAC ≤ 25 000 ֏.</w:t>
      </w:r>
    </w:p>
    <w:p>
      <w:pPr>
        <w:pStyle w:val="ListParagraph"/>
        <w:numPr>
          <w:ilvl w:val="0"/>
          <w:numId w:val="1"/>
        </w:numPr>
      </w:pPr>
      <w:r>
        <w:t xml:space="preserve">Кладбище: цель — </w:t>
      </w:r>
      <w:r>
        <w:rPr>
          <w:b/>
        </w:rPr>
        <w:t>рамочный договор с оператором</w:t>
      </w:r>
      <w:r>
        <w:t xml:space="preserve"> (не письмо), с условиями: въезд авто, вода, вывоз мусора, съёмка, статус относительно смотрителей.</w:t>
      </w:r>
    </w:p>
    <w:p>
      <w:pPr>
        <w:pStyle w:val="ListParagraph"/>
        <w:numPr>
          <w:ilvl w:val="0"/>
          <w:numId w:val="1"/>
        </w:numPr>
      </w:pPr>
      <w:r>
        <w:t xml:space="preserve">Зарплаты полевых — </w:t>
      </w:r>
      <w:r>
        <w:rPr>
          <w:b/>
        </w:rPr>
        <w:t>net</w:t>
      </w:r>
      <w:r>
        <w:t>; в модели gross-up ×1,35; точная ставка — бухгалтер.</w:t>
      </w:r>
    </w:p>
    <w:p>
      <w:pPr>
        <w:pStyle w:val="ListParagraph"/>
        <w:numPr>
          <w:ilvl w:val="0"/>
          <w:numId w:val="1"/>
        </w:numPr>
      </w:pPr>
      <w:r>
        <w:t xml:space="preserve">Экспресс: </w:t>
      </w:r>
      <w:r>
        <w:rPr>
          <w:b/>
        </w:rPr>
        <w:t>зачёт в подписку принят</w:t>
      </w:r>
      <w:r>
        <w:t>; «визит к дате» — не принят (пока).</w:t>
      </w:r>
    </w:p>
    <w:p>
      <w:pPr>
        <w:pStyle w:val="ListParagraph"/>
        <w:numPr>
          <w:ilvl w:val="0"/>
          <w:numId w:val="1"/>
        </w:numPr>
      </w:pPr>
      <w:r>
        <w:t xml:space="preserve">«Семейный круг» + </w:t>
      </w:r>
      <w:r>
        <w:rPr>
          <w:b/>
        </w:rPr>
        <w:t>реферальный кредит</w:t>
      </w:r>
      <w:r>
        <w:t xml:space="preserve"> (бесплатный лёгкий визит обоим) — принято.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Страхование ГО + резерв 500 000 ֏ — до пилота</w:t>
      </w:r>
      <w:r>
        <w:t xml:space="preserve"> (задача юристу).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Kill-критерий: &lt;40 платящих клиентов к месяцу 4 после запуска → стоп и пересборка модели</w:t>
      </w:r>
      <w:r>
        <w:t>, не пополнение.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Юрпакет платформы до первого платежа</w:t>
      </w:r>
      <w:r>
        <w:t>: оферта США/ЕС с возвратами, privacy policy EN/FR (GDPR), согласия субаккаунтов, протокол съёмки (чужие могилы в кадр — никогда).</w:t>
      </w:r>
    </w:p>
    <w:p>
      <w:pPr>
        <w:pStyle w:val="ListParagraph"/>
        <w:numPr>
          <w:ilvl w:val="0"/>
          <w:numId w:val="1"/>
        </w:numPr>
      </w:pPr>
      <w:r>
        <w:t xml:space="preserve">Пилот: </w:t>
      </w:r>
      <w:r>
        <w:rPr>
          <w:b/>
        </w:rPr>
        <w:t>Хайк + 2 мастера</w:t>
      </w:r>
      <w:r>
        <w:t xml:space="preserve"> (оформленные), полная команда — после пилота.</w:t>
      </w:r>
    </w:p>
    <w:p>
      <w:pPr>
        <w:pStyle w:val="ListParagraph"/>
        <w:numPr>
          <w:ilvl w:val="0"/>
          <w:numId w:val="1"/>
        </w:numPr>
      </w:pPr>
      <w:r>
        <w:t>Договоры подрядчиков — подписать за 48–72 часа, права на код/макеты переходят по вехам оплаты, исходники — условие приёмки.</w:t>
      </w:r>
    </w:p>
    <w:p>
      <w:pPr>
        <w:pStyle w:val="ListParagraph"/>
        <w:numPr>
          <w:ilvl w:val="0"/>
          <w:numId w:val="1"/>
        </w:numPr>
      </w:pPr>
      <w:r>
        <w:t>Финмодель v6.0: помесячно 60 месяцев, НДС-переключатель (режим меняется с Года 3), deferred — в ТЗ бухгалтеру, резерв возвратов 3%.</w:t>
      </w:r>
    </w:p>
    <w:p>
      <w:r>
        <w:rPr>
          <w:b/>
        </w:rPr>
        <w:t>Зафиксировано как предложение, НЕ принято (обсудить после пилота):</w:t>
      </w:r>
    </w:p>
    <w:p>
      <w:pPr>
        <w:pStyle w:val="ListParagraph"/>
        <w:numPr>
          <w:ilvl w:val="0"/>
          <w:numId w:val="2"/>
        </w:numPr>
      </w:pPr>
      <w:r>
        <w:t>«Плати после первого отчёта» для новых клиентов (или депозит 50%) — главное предложение совета по конверсии доверия.</w:t>
      </w:r>
    </w:p>
    <w:p>
      <w:pPr>
        <w:pStyle w:val="ListParagraph"/>
        <w:numPr>
          <w:ilvl w:val="0"/>
          <w:numId w:val="2"/>
        </w:numPr>
      </w:pPr>
      <w:r>
        <w:t>«Визит к дате» как позиционирование Экспресса.</w:t>
      </w:r>
    </w:p>
    <w:p>
      <w:pPr>
        <w:pStyle w:val="ListParagraph"/>
        <w:numPr>
          <w:ilvl w:val="0"/>
          <w:numId w:val="2"/>
        </w:numPr>
      </w:pPr>
      <w:r>
        <w:t>Витринная роль Экспресса — пересмотреть по данным пилота.</w:t>
      </w:r>
    </w:p>
    <w:p>
      <w:pPr>
        <w:pStyle w:val="Heading2"/>
        <ck:id v="v3-v60"/>
      </w:pPr>
      <w:bookmarkStart w:id="4" w:name="v3_v60"/>
      <w:r>
        <w:t>Ключевые цифры пакета v3 (модель v6.0, базовая кривая, нормальный сценарий)</w:t>
      </w:r>
      <w:bookmarkEnd w:id="4"/>
    </w:p>
    <w:p>
      <w:r>
        <w:t xml:space="preserve">Клиенты EOY: 192 / 423 / 803 / 1 326 / 1 990 · Выручка: 34,6 / 76,1 / 144,6 / 238,7 / 358,2 млн ֏ · EBITDA: </w:t>
      </w:r>
      <w:r>
        <w:rPr>
          <w:b/>
        </w:rPr>
        <w:t>−2,3 млн ֏ Год 1</w:t>
      </w:r>
      <w:r>
        <w:t xml:space="preserve"> (инвестиционный: 3-чел команда + маркетинг-лестница + страхование) → +$35,6 тыс. → +$93,9 тыс. → +$174 тыс. → +$277 тыс. · НДС-режим с Года 3 · Команды к Году 5: 6 тяжёлых + 5 лёгких · Пиковая потребность ≈ 5,0 млн ֏ (~$13,8 тыс. с резервами) · Пенетрация базового SAM к Году 5: ~13%.</w:t>
      </w:r>
    </w:p>
    <w:p>
      <w:pPr>
        <w:pStyle w:val="Heading2"/>
        <ck:id v="v31-0608"/>
      </w:pPr>
      <w:bookmarkStart w:id="6" w:name="v31_0608"/>
      <w:r>
        <w:t>Блок Г — дополнение v3.1 (06.08, после брифа дизайнера)</w:t>
      </w:r>
      <w:bookmarkEnd w:id="6"/>
    </w:p>
    <w:p>
      <w:r>
        <w:t>Решения, принятые при заполнении брифа дизайнера и синхронизированные по пакету: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Языки на старте — ТРИ (ARM/ENG/RUS)</w:t>
      </w:r>
      <w:r>
        <w:t>; французский добавляется позже. Исправлено в бизнес-плане, GTM и задачнике программистов.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KPI двухуровневые:</w:t>
      </w:r>
      <w:r>
        <w:t xml:space="preserve"> базовый план 30–50 подписок к 16-й неделе и конверсия заявка→оплата 25% (по нему — финмодель и kill-критерий); амбициозная цель команды — 90+ подписок и ≥40%.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Повторный Экспресс:</w:t>
      </w:r>
      <w:r>
        <w:t xml:space="preserve"> если за 60 дней клиент не перешёл на годовую подписку, повторный разовый визит в тот же год — 40 000 ֏ вместо 60 000. Внесено в бизнес-план, задачник программистов и финмодель (примечание).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Зачёт Экспресса — ровно 60 дней</w:t>
      </w:r>
      <w:r>
        <w:t xml:space="preserve"> (было «30–60»).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Главный CTA сайта — заявка на бесплатную консультацию</w:t>
      </w:r>
      <w:r>
        <w:t>; онлайн-оплата — вторичный путь. GTM обновлён.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Терминология «ընտանեկան սրբատեղի»</w:t>
      </w:r>
      <w:r>
        <w:t xml:space="preserve"> (семейное святое место) — во всех клиентских материалах; внутренние документы сохраняют рабочую терминологию.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Титулы: Давид Амбарцумян — CEO, Хайк Манукян — CBDO</w:t>
      </w:r>
      <w:r>
        <w:t xml:space="preserve"> — во всех документах.</w:t>
      </w:r>
    </w:p>
    <w:p>
      <w:pPr>
        <w:pStyle w:val="ListParagraph"/>
        <w:numPr>
          <w:ilvl w:val="0"/>
          <w:numId w:val="6"/>
        </w:numPr>
      </w:pPr>
      <w:r>
        <w:t>Дизайнер полностью свободен в решениях (вплоть до иного лого и палитры с обоснованием); неприкосновенно только название MemoryCare. Клиентские названия пакетов: «Էքսպրես խնամք» / «Օպտիմալ խնամք» / «Մաքսիմում խնամք»; слово «бестселлер» в витрине не используется.</w:t>
      </w:r>
    </w:p>
    <w:p>
      <w:pPr>
        <w:pStyle w:val="Heading2"/>
        <ck:id v="v32-0708"/>
      </w:pPr>
      <w:bookmarkStart w:id="7" w:name="v32_0708"/>
      <w:r>
        <w:t>Блок Д — дополнение v3.2 (07.08, разбор бизнес-плана с Хайком)</w:t>
      </w:r>
      <w:bookmarkEnd w:id="7"/>
    </w:p>
    <w:p>
      <w:pPr>
        <w:pStyle w:val="ListParagraph"/>
        <w:numPr>
          <w:ilvl w:val="0"/>
          <w:numId w:val="7"/>
        </w:numPr>
      </w:pPr>
      <w:r>
        <w:rPr>
          <w:b/>
        </w:rPr>
        <w:t>Реферальная награда «Семейного круга» — только сервис-подарок «цветы к памятной дате» с фотоотчётом.</w:t>
      </w:r>
      <w:r>
        <w:t xml:space="preserve"> Механика «бесплатный лёгкий визит обоим» отменена: приглашённый субаккаунт смотрит тот же участок, визит ему не нужен, а у активного подписчика визитов достаточно. Себестоимость подарка ~3–5 тыс. ֏, эмоциональная ценность высокая.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«Максимум» = 3 тяжёлых + 6 лёгких визитов (9/год) при цене 240 000 ֏.</w:t>
      </w:r>
      <w:r>
        <w:t xml:space="preserve"> Маржа поднимается с 36,2% до ~49,7%; обещание «ежемесячно» из описания тарифа убрано. Финмодель пересчитана: EBITDA Года 1 улучшилась до ≈ −1,7 млн ֏, Год 5 ≈ +$306 тыс.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Новый 4-й тариф «Զննում» (Осмотр) — 20 000 ֏.</w:t>
      </w:r>
      <w:r>
        <w:t xml:space="preserve"> Разовый визит лёгкой команды: фото/видеоотчёт состояния + список рекомендуемых работ с ценами; зачёт 20 000 в любой пакет при покупке за 30 дней. Двойная роль: (а) психологический мост — знакомство с сервисом без риска годовой предоплаты, отчёт с рекомендациями работает апсейлом; (б) операционная разведка — GPS-метка участка фиксируется в карточке клиента, рабочие команды не тратят время на поиск могилы (защита производительности 2,5–3,5 точки/день). Выручка «Զննում» в финмодели консервативно не учтена. Внесено: бизнес-план §1, GTM (шаги 9, 15, 19), задачник программистов, протокол визита (новый Шаг 0).</w:t>
      </w:r>
    </w:p>
    <w:p>
      <w:pPr>
        <w:pStyle w:val="Heading2"/>
        <ck:id v="section-1"/>
      </w:pPr>
      <w:bookmarkStart w:id="5" w:name="section_1"/>
      <w:r>
        <w:t>Контрольный календарь недели</w:t>
      </w:r>
      <w:bookmarkEnd w:id="5"/>
    </w:p>
    <w:p>
      <w:r>
        <w:t>07.08 — Давид в Америабанке · до 08.08 — подписаны договоры подрядчиков; объявления о найме опубликованы (документ 16); Хайк меняет контакты сайта · 13.08 — налоговый меморандум юриста; первый контакт с оператором кладбища состоялся · 20.08 — бухгалтер нанят; статус переговоров по договору с кладбищем — доклад.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