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"/>
      </w:pPr>
      <w:bookmarkStart w:id="0" w:name="memorycare"/>
      <w:r>
        <w:t>Отчёт совета директоров MemoryCare — сводное заключение шести консулов</w:t>
      </w:r>
      <w:bookmarkEnd w:id="0"/>
    </w:p>
    <w:p>
      <w:r>
        <w:rPr>
          <w:b/>
        </w:rPr>
        <w:t>Дата: 06.08.2026 · Основание: PROJECT-STATE-BRIEF.md + заключения инвестора-контрарианца, CFO, юриста, COO, CMO, голоса клиента</w:t>
      </w:r>
    </w:p>
    <w:p>
      <w:pPr>
        <w:pBdr>
          <w:bottom w:val="single" w:sz="6" w:space="1" w:color="1A1A1A"/>
        </w:pBdr>
      </w:pPr>
    </w:p>
    <w:p>
      <w:pPr>
        <w:pStyle w:val="Heading2"/>
        <ck:id v="1"/>
      </w:pPr>
      <w:bookmarkStart w:id="1" w:name="_1"/>
      <w:r>
        <w:t>1. Общий вердикт совета</w:t>
      </w:r>
      <w:bookmarkEnd w:id="1"/>
    </w:p>
    <w:p>
      <w:r>
        <w:t>Совет единогласен: бизнес реален, боль подлинная (12% могил без ухода, 18% семей не знают состояния, 0 из 6 пробовавших довольны), юнит-экономика ядра здоровая (CFO подтвердил пересчётом ~18 700 ֏ себестоимости тяжёлого визита и маржи 59/60/45%), а цена бестселлера точно попадает в модальный WTP $50–100/визит. Модель доказана аналогами (Tending, Styks, GraveCareUkraine), и субаккаунты с запуска — честный дифференциатор мирового уровня. Но прямо сейчас проект нарушает собственный протокол «ни рубля до ворот»: подрядчики пишут ядро платформы без подписанных договоров (права на код юридически не у компании), накладные идут, поиск команды запущен — при этом письменного ответа кладбища нет, налоговый режим не подтверждён, платных клиентов ноль. Совет предупреждает: наиболее вероятный сценарий смерти — не запрет муниципалитета, а медленные продажи холодной диаспоре при burn 1,6–2,2 млн ֏/мес после найма, потому что барьер «заплати $493 вперёд незнакомцам без единого отзыва» не закрыт, а платёж американской картой через Америабанк даже не протестирован. Финмодель не готова к заявленному росту: маркетинг $400/мес меньше необходимого в 6–12 раз, НДС-порог пробивается уже в Году 2, deferred-учёта предоплат нет. Всё это исправимо за 2–4 недели дисциплинированной работы — фатальных дефектов совет не нашёл, но до первого платного визита должны быть закрыты пункты раздела 5.</w:t>
      </w:r>
    </w:p>
    <w:p>
      <w:pPr>
        <w:pBdr>
          <w:bottom w:val="single" w:sz="6" w:space="1" w:color="1A1A1A"/>
        </w:pBdr>
      </w:pPr>
    </w:p>
    <w:p>
      <w:pPr>
        <w:pStyle w:val="Heading2"/>
        <ck:id v="2-sam-cfo-cmo"/>
      </w:pPr>
      <w:bookmarkStart w:id="2" w:name="_2_sam_cfo_cmo"/>
      <w:r>
        <w:t>2. Консенсус-оценка SAM (сведение CFO и CMO)</w:t>
      </w:r>
      <w:bookmarkEnd w:id="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/>
        </w:tc>
        <w:tc>
          <w:tcPr/>
          <w:p>
            <w:r>
              <w:rPr>
                <w:b/>
              </w:rPr>
              <w:t>Низ</w:t>
            </w:r>
          </w:p>
        </w:tc>
        <w:tc>
          <w:tcPr/>
          <w:p>
            <w:r>
              <w:rPr>
                <w:b/>
              </w:rPr>
              <w:t>База</w:t>
            </w:r>
          </w:p>
        </w:tc>
        <w:tc>
          <w:tcPr/>
          <w:p>
            <w:r>
              <w:rPr>
                <w:b/>
              </w:rPr>
              <w:t>Верх</w:t>
            </w:r>
          </w:p>
        </w:tc>
      </w:tr>
      <w:tr>
        <w:tc>
          <w:tcPr/>
          <w:p>
            <w:r>
              <w:rPr>
                <w:b/>
              </w:rPr>
              <w:t>SAM, семей</w:t>
            </w:r>
          </w:p>
        </w:tc>
        <w:tc>
          <w:tcPr/>
          <w:p>
            <w:r>
              <w:rPr>
                <w:b/>
              </w:rPr>
              <w:t>~6 000–8 000</w:t>
            </w:r>
          </w:p>
        </w:tc>
        <w:tc>
          <w:tcPr/>
          <w:p>
            <w:r>
              <w:rPr>
                <w:b/>
              </w:rPr>
              <w:t>~12 000–18 000</w:t>
            </w:r>
          </w:p>
        </w:tc>
        <w:tc>
          <w:tcPr/>
          <w:p>
            <w:r>
              <w:rPr>
                <w:b/>
              </w:rPr>
              <w:t>~25 000–35 000</w:t>
            </w:r>
          </w:p>
        </w:tc>
      </w:tr>
    </w:tbl>
    <w:p>
      <w:r>
        <w:rPr>
          <w:b/>
        </w:rPr>
        <w:t>Методология (консенсус).</w:t>
      </w:r>
      <w:r>
        <w:t xml:space="preserve"> Счёт снизу вверх по домохозяйствам с конкретной могилой в зоне обслуживания, двумя потоками. (1) Диаспора: ядро — не «7–10 млн диаспоры вообще» (у старой западной диаспоры могилы в Ливане/Сирии/Турции), а постсоветская эмиграция из Армении ~1–1,5 млн человек ≈ 300–600 тыс. домохозяйств; из них с могилами именно в Ереване ~40–50% (150–250 тыс.); фильтр острой потребности ~30% (по опросу), платёжеспособности $200–650/год и реальной достижимости каналами (церкви, FB-группы, землячества) даёт 4–10 тыс. конвертируемых семей, при этом РФ-сегмент дисконтируется из-за платёжного трения. (2) Локальный премиум Еревана: ~280–300 тыс. домохозяйств, верхние 10–15% дохода с захоронением и дефицитом времени → 2–5 тыс. Кросс-проверка потоком (CFO): ~8–9 тыс. захоронений/год в Ереване — захват 5% свежих могил сам покрывает потребность Годов 1–2. </w:t>
      </w:r>
      <w:r>
        <w:rPr>
          <w:b/>
        </w:rPr>
        <w:t>Вывод:</w:t>
      </w:r>
      <w:r>
        <w:t xml:space="preserve"> старая догадка «5 000» близка к нижней границе — она годится как консервативный ориентир, но план 6 260 клиентов к Году 5 означает 35–50%+ пенетрации базового SAM, чего в категории ручных продаж доверия не бывает (норма 5–20% за 5 лет). Инвестор-контрарианец считает ещё жёстче (см. раздел 6).</w:t>
      </w:r>
    </w:p>
    <w:p>
      <w:pPr>
        <w:pBdr>
          <w:bottom w:val="single" w:sz="6" w:space="1" w:color="1A1A1A"/>
        </w:pBdr>
      </w:pPr>
    </w:p>
    <w:p>
      <w:pPr>
        <w:pStyle w:val="Heading2"/>
        <ck:id v="3-20016012090"/>
      </w:pPr>
      <w:bookmarkStart w:id="3" w:name="_3_20016012090"/>
      <w:r>
        <w:t>3. Вердикт по росту 200/160/120/90</w:t>
      </w:r>
      <w:bookmarkEnd w:id="3"/>
    </w:p>
    <w:p>
      <w:r>
        <w:rPr>
          <w:b/>
        </w:rPr>
        <w:t>Консенсус совета: как план — нереалистично; как стресс-сценарий для финансирования — допустимо.</w:t>
      </w:r>
      <w:r>
        <w:t xml:space="preserve"> Все шесть консулов сходятся: ×3 в Год 2 (192→576, ~34 продажи/мес) сам по себе достижим — низкая база, гринфилд, концентрированные диаспоральные каналы, — но математически несовместим с маркетингом $400/мес (при CAC 25 000 ֏ он покупает ~70 клиентов в год, нужно ~413 привлечений с учётом оттока). Полная кривая до 6 260 к Году 5 требует одновременно: пенетрации 35–100% SAM (по разным оценкам), 20+ тяжёлых команд (~60–75 полевых сотрудников, наём команды каждые 5–8 недель), маркетинга $15–25k/мес и пережитого НДС-перехода, срезающего 13–16 п.п. маржи, — этой цены в модели нет.</w:t>
      </w:r>
    </w:p>
    <w:p>
      <w:r>
        <w:rPr>
          <w:b/>
        </w:rPr>
        <w:t>Рекомендация совета:</w:t>
      </w:r>
      <w:r>
        <w:t xml:space="preserve"> финансировать, нанимать и строить операции по базовой кривой </w:t>
      </w:r>
      <w:r>
        <w:rPr>
          <w:b/>
        </w:rPr>
        <w:t>~+120% / +80–100% / +60–70% / +50%</w:t>
      </w:r>
      <w:r>
        <w:t xml:space="preserve"> (Год 5 ≈ 2 000–3 000 клиентов, выручка ~350–500 млн ֏ — по-прежнему отличный бизнес для Армении), а 200/160/120/90 держать как агрессивный сценарий с заранее просчитанными триггерами дополнительных траншей.</w:t>
      </w:r>
    </w:p>
    <w:p>
      <w:r>
        <w:rPr>
          <w:b/>
        </w:rPr>
        <w:t>Условия перехода на агрессивную траекторию (ворота):</w:t>
      </w:r>
      <w:r>
        <w:t xml:space="preserve"> подтверждённый CAC ≤ 25 000 ֏ и retention ≥85% на первой сотне клиентов; маркетинг-бюджет 10–15% выручки со 2-го года ($2,3–5k/мес, далее больше); работающий реферальный контур субаккаунтов (K-фактор ≥0,3, конверсия субаккаунт→клиент ≥10%); слой доверия «плати после первого отчёта»; «команда-в-коробке» (SOP, воронка найма, 2-недельное обучение) к месяцу 9; брак отчётов &lt;5%; принятое заранее решение по ценам при НДС-переходе; опережающий (не триггерный) наём управленческого слоя с Года 3.</w:t>
      </w:r>
    </w:p>
    <w:p>
      <w:pPr>
        <w:pBdr>
          <w:bottom w:val="single" w:sz="6" w:space="1" w:color="1A1A1A"/>
        </w:pBdr>
      </w:pPr>
    </w:p>
    <w:p>
      <w:pPr>
        <w:pStyle w:val="Heading2"/>
        <ck:id v="4-10"/>
      </w:pPr>
      <w:bookmarkStart w:id="4" w:name="_4_10"/>
      <w:r>
        <w:t>4. ТОП-10 предложений совета (по приоритету, дедуплицировано)</w:t>
      </w:r>
      <w:bookmarkEnd w:id="4"/>
    </w:p>
    <w:p>
      <w:r>
        <w:rPr>
          <w:b/>
        </w:rPr>
        <w:t>1. Кладбище: не «письмо-ответ», а рамочный договор с оператором, включая физические правила работы.</w:t>
      </w:r>
      <w:r>
        <w:t xml:space="preserve"> Добиваться договора доступа/сотрудничества на 1+ год с муниципальным оператором «Ереванские кладбища» (письмо отзывается, договор — нет), с явными ответами: право коммерческой бригады, эксклюзив оператора, въезд авто, вода, вывоз мусора, съёмка, статус относительно смотрителей и частников. Без пунктов «авто/вода/мусор» мощность 2,5–3,5 точек/день — гадание (±40% производительности). </w:t>
      </w:r>
      <w:r>
        <w:rPr>
          <w:i/>
        </w:rPr>
        <w:t>Подняли: юрист, COO, инвестор.</w:t>
      </w:r>
    </w:p>
    <w:p>
      <w:r>
        <w:rPr>
          <w:b/>
        </w:rPr>
        <w:t>2. Подписать договоры с программистами и дизайнером за 48–72 часа.</w:t>
      </w:r>
      <w:r>
        <w:t xml:space="preserve"> С ретроактивной оговоркой на уже идущие работы, переходом исключительных прав на код/макеты по мере оплаты вех (не «после полной оплаты»), передачей исходников (git, Figma) как условием приёмки, отлагательным условием паузы при отрицательном ответе кладбища, оплатой 30/40/30 по вехам. Каждый день кода без договора увеличивает заложника. </w:t>
      </w:r>
      <w:r>
        <w:rPr>
          <w:i/>
        </w:rPr>
        <w:t>Подняли: инвестор, юрист.</w:t>
      </w:r>
    </w:p>
    <w:p>
      <w:r>
        <w:rPr>
          <w:b/>
        </w:rPr>
        <w:t>3. Слой доверия первого платежа: «плати после первого отчёта» + end-to-end тест платежей США/ЕС.</w:t>
      </w:r>
      <w:r>
        <w:t xml:space="preserve"> Новый клиент платит после получения первого GPS-видеоотчёта (или депозит 50%) — риск компании один визит ~18 700 ֏ против кратного роста конверсии. До подписания с Америабанком — реальные тестовые платежи US Visa/MC и французской картой, 3DS на мобильном, понятный descriptor, Apple Pay/Google Pay, цены в долларах с фиксацией; запасной эквайер до запуска. Без этого воронка ломается до первого доллара. </w:t>
      </w:r>
      <w:r>
        <w:rPr>
          <w:i/>
        </w:rPr>
        <w:t>Подняли: CMO, голос клиента.</w:t>
      </w:r>
    </w:p>
    <w:p>
      <w:r>
        <w:rPr>
          <w:b/>
        </w:rPr>
        <w:t>4. Юридический пакет платформы до первого платежа: оферта + privacy (GDPR) + согласия субаккаунтов.</w:t>
      </w:r>
      <w:r>
        <w:t xml:space="preserve"> Оферта США/ЕС с правом отказа 14 дней и возвратом pro-rata, автопродление только с явным согласием; privacy policy EN/FR (сайт на FR/EN + карты ЕС = GDPR применим); протокол съёмки (чужие могилы и посетители — никогда, блюр в маркетинге); субаккаунт сам принимает оферту при первом входе. </w:t>
      </w:r>
      <w:r>
        <w:rPr>
          <w:i/>
        </w:rPr>
        <w:t>Поднял: юрист.</w:t>
      </w:r>
    </w:p>
    <w:p>
      <w:r>
        <w:rPr>
          <w:b/>
        </w:rPr>
        <w:t>5. Модель v6.0 до подписания договоров: НДС-переключатель, deferred-учёт, стресс-тесты.</w:t>
      </w:r>
      <w:r>
        <w:t xml:space="preserve"> Смоделировать месяц пробития 115 млн ֏ (при агрессивной кривой — месяцы 18–22) и решение «цены +8–20% при переходе или поглощаем»; deferred-признание выручки и резерв возвратов 3–5% — в ТЗ бухгалтеру до 20.08; показать burn до/после найма и худший сценарий с 3-чел командой (уходит в минус ~−2…−3 млн ֏); расширить меморандум 13.08 вопросом момента признания выручки при предоплате. </w:t>
      </w:r>
      <w:r>
        <w:rPr>
          <w:i/>
        </w:rPr>
        <w:t>Подняли: CFO, юрист, инвестор.</w:t>
      </w:r>
    </w:p>
    <w:p>
      <w:r>
        <w:rPr>
          <w:b/>
        </w:rPr>
        <w:t>6. Переписать маркетинговый бюджет с $400/мес на CAC-модель.</w:t>
      </w:r>
      <w:r>
        <w:t xml:space="preserve"> Лестница: $400 (пилот и мягкий запуск, органика/церкви) → $1 500/мес с месяца 5 → $3–5k/мес в Год 2 (10–16 млн ֏/год) → 25–40 млн ֏/год в Год 3; каждая ступень открывается только при CAC ниже порога и NPS когорт ≥8; канал с CAC &gt;45 000 ֏ после 2 месяцев закрывается. LTV/CAC 7–12 это оправдывает — предоплата возвращает деньги в том же году. </w:t>
      </w:r>
      <w:r>
        <w:rPr>
          <w:i/>
        </w:rPr>
        <w:t>Подняли: CFO, CMO, инвестор.</w:t>
      </w:r>
    </w:p>
    <w:p>
      <w:r>
        <w:rPr>
          <w:b/>
        </w:rPr>
        <w:t>7. Стоп-лосс вместо «финансирования без лимита»: потолок и транши по вехам.</w:t>
      </w:r>
      <w:r>
        <w:t xml:space="preserve"> Годовой потолок (~30 млн ֏) с траншами: транш 2 — после кладбища и налогового меморандума; транш 3 — после 5–10 оплаченных пилотных визитов с ≥1 диаспорой; транш 4 — после 50 платящих. Kill-критерий заранее: &lt;40 клиентов к месяцу 4 после запуска — пересборка модели, а не «дольём ещё». </w:t>
      </w:r>
      <w:r>
        <w:rPr>
          <w:i/>
        </w:rPr>
        <w:t>Поднял: инвестор.</w:t>
      </w:r>
    </w:p>
    <w:p>
      <w:r>
        <w:rPr>
          <w:b/>
        </w:rPr>
        <w:t>8. Протокол визита + контроль качества + страхование ответственности — до пилота.</w:t>
      </w:r>
      <w:r>
        <w:t xml:space="preserve"> App-enforced чеклист (платформа не закрывает визит без GPS и 4 фиксированных ракурсов «до/после» + фото соседних участков как щит от претензий), только pH-нейтральная химия, инцидент-протокол (клиенту — в 24 часа); первые 3 месяца проверка 100% отчётов, далее 20% + все первые визиты; публичный стандарт «анти-показухи» и гарантия повторного визита на сайте; страхование гражданской ответственности + резерв 500 000 ֏ на инциденты. Отчёт — это и есть продукт. </w:t>
      </w:r>
      <w:r>
        <w:rPr>
          <w:i/>
        </w:rPr>
        <w:t>Подняли: COO, голос клиента.</w:t>
      </w:r>
    </w:p>
    <w:p>
      <w:r>
        <w:rPr>
          <w:b/>
        </w:rPr>
        <w:t>9. Кадровая дисциплина: трудовое оформление только после кладбища, пилот минимальным составом.</w:t>
      </w:r>
      <w:r>
        <w:t xml:space="preserve"> Трудовые договоры и регистрация в налоговой ДО первого выхода (включая «тестовые дни» пилота); зафиксировать gross/net (400 000 «на руки» ≈ 1,35 млн ֏/мес на команду вместо 1,0); сентябрьский пилот — силами Хайк + 1 рабочий; резервирование: скамейка 1–2 кандидатов, подменное авто, зимняя норма 20–22 дня; удержание через квартальный бонус за качество на стигматизированной работе. </w:t>
      </w:r>
      <w:r>
        <w:rPr>
          <w:i/>
        </w:rPr>
        <w:t>Подняли: инвестор, юрист, COO.</w:t>
      </w:r>
    </w:p>
    <w:p>
      <w:r>
        <w:rPr>
          <w:b/>
        </w:rPr>
        <w:t>10. Починить воронку входа: Экспресс и «Семейный круг».</w:t>
      </w:r>
      <w:r>
        <w:t xml:space="preserve"> Экспресс ($164/визит — дороже WTP 76% опрошенных) переупаковать из «пробного» в (а) трайал с полным зачётом в подписку при апгрейде за 30–60 дней и (б) «визит к дате» — к приезду, годовщине, Мерелоц, с триггерными письмами по собранным памятным датам. Субаккаунты переименовать в «Семейный круг», встроить инвайт в момент доставки отчёта, шеринг в WhatsApp/Viber одним тапом и реферальный кредит (бесплатный лёгкий визит обоим, себестоимость ~4 000 ֏ против CAC 25 000 ֏). </w:t>
      </w:r>
      <w:r>
        <w:rPr>
          <w:i/>
        </w:rPr>
        <w:t>Подняли: инвестор, CFO, голос клиента, CMO.</w:t>
      </w:r>
    </w:p>
    <w:p>
      <w:pPr>
        <w:pBdr>
          <w:bottom w:val="single" w:sz="6" w:space="1" w:color="1A1A1A"/>
        </w:pBdr>
      </w:pPr>
    </w:p>
    <w:p>
      <w:pPr>
        <w:pStyle w:val="Heading2"/>
        <ck:id v="5"/>
      </w:pPr>
      <w:bookmarkStart w:id="5" w:name="_5"/>
      <w:r>
        <w:t>5. Красные флаги до старта</w:t>
      </w:r>
      <w:bookmarkEnd w:id="5"/>
    </w:p>
    <w:p>
      <w:pPr>
        <w:pStyle w:val="ListParagraph"/>
        <w:numPr>
          <w:ilvl w:val="0"/>
          <w:numId w:val="1"/>
        </w:numPr>
      </w:pPr>
      <w:r>
        <w:rPr>
          <w:b/>
        </w:rPr>
        <w:t>Траты обогнали ворота:</w:t>
      </w:r>
      <w:r>
        <w:t xml:space="preserve"> 2,7 млн ֏ разовых + ~500 тыс ֏/мес идут до письменного ответа кладбища и налогового меморандума — «когнитивная ловушка» из v2.1 реализуется в точности.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Программисты пишут ядро бизнеса без подписанного договора</w:t>
      </w:r>
      <w:r>
        <w:t xml:space="preserve"> — исключительные права на платформу сейчас не у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Нет письменного основания работать на муниципальном кладбище</w:t>
      </w:r>
      <w:r>
        <w:t xml:space="preserve"> — устное «да» не переживает смену директора; плюс возможный эксклюзив оператора.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Платёж картой США/Франции физически не проверен</w:t>
      </w:r>
      <w:r>
        <w:t>; нет оферты, privacy policy и согласий — а запуск через ~45 дней.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Ноль платных клиентов и ноль глубинных интервью</w:t>
      </w:r>
      <w:r>
        <w:t xml:space="preserve"> — конверсия холодной диаспоры в предоплату $493 неизвестна вообще.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Худший сценарий Года 1 с 3-чел командой уходит в минус</w:t>
      </w:r>
      <w:r>
        <w:t xml:space="preserve"> (~−2…−3 млн ֏), точка безубыточности сдвигается к ~140–150 клиентам — пересчёт v6.0 обязателен до подписания договоров.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Маркетинг $400/мес несовместим даже с Годом 1</w:t>
      </w:r>
      <w:r>
        <w:t xml:space="preserve"> (покрывает ~70 клиентов при плане ~220).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НДС-порог 115 млн ֏ — на волоске уже в Году 2</w:t>
      </w:r>
      <w:r>
        <w:t xml:space="preserve"> (576 × 180 000 = 103,7 млн ֏), в модели перехода нет.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Ноль избыточности при годовой предоплате:</w:t>
      </w:r>
      <w:r>
        <w:t xml:space="preserve"> одно авто, три человека без замены, один лёгкий работник.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Риск переквалификации и штрафов:</w:t>
      </w:r>
      <w:r>
        <w:t xml:space="preserve"> полевые команды — трудовые отношения по ТК РА; «тестовый день» без оформления — уже нарушение.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Асимметричный репутационный риск:</w:t>
      </w:r>
      <w:r>
        <w:t xml:space="preserve"> порча соседней могилы или один вирусный негативный пост в диаспоральной FB-группе — без страховки, резерва и протокола реакции &lt;24ч.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Коллизия «memory care = уход за деменцией» в США</w:t>
      </w:r>
      <w:r>
        <w:t xml:space="preserve"> — без категорийного дескриптора и минус-слов в Google Ads.</w:t>
      </w:r>
    </w:p>
    <w:p>
      <w:pPr>
        <w:pBdr>
          <w:bottom w:val="single" w:sz="6" w:space="1" w:color="1A1A1A"/>
        </w:pBdr>
      </w:pPr>
    </w:p>
    <w:p>
      <w:pPr>
        <w:pStyle w:val="Heading2"/>
        <ck:id v="6"/>
      </w:pPr>
      <w:bookmarkStart w:id="6" w:name="_6"/>
      <w:r>
        <w:t>6. Разногласия консулов</w:t>
      </w:r>
      <w:bookmarkEnd w:id="6"/>
    </w:p>
    <w:p>
      <w:r>
        <w:rPr>
          <w:b/>
        </w:rPr>
        <w:t>Размер SAM.</w:t>
      </w:r>
      <w:r>
        <w:t xml:space="preserve"> Инвестор-контрарианец: низ ~3 000 / база 6 000–8 000 / верх 12 000–15 000 (жёсткий фильтр «доволен бесплатным уходом местных родственников»). CFO: 8 000 / 15 000–20 000 / 35 000–40 000 (шире берёт диаспору и всю Армению в верхней границе). CMO посередине: 6 000 / 12 000 / 25 000. Консенсус раздела 2 взвешен к CFO и CMO; практическое следствие одинаково у всех — план Года 5 требует нереальной пенетрации.</w:t>
      </w:r>
    </w:p>
    <w:p>
      <w:r>
        <w:rPr>
          <w:b/>
        </w:rPr>
        <w:t>Достижимость ×3 в Год 2.</w:t>
      </w:r>
      <w:r>
        <w:t xml:space="preserve"> CFO, CMO, COO и голос клиента: достижимо при деньгах, доверии и реферальном контуре (ограничитель — маркетинг, не операции). Инвестор: даже с деньгами реалистично +80–120% — холодная конверсия диаспоры не проверена ни одним платным клиентом. Совет закрыл разногласие воротами перехода (раздел 3).</w:t>
      </w:r>
    </w:p>
    <w:p>
      <w:r>
        <w:rPr>
          <w:b/>
        </w:rPr>
        <w:t>Судьба Экспресса.</w:t>
      </w:r>
      <w:r>
        <w:t xml:space="preserve"> Инвестор допускает вовсе убрать его с витрины (продавать только оффером в переписке); CFO — оставить как трайал с зачётом; голос клиента — сохранить цену, но продавать как «визит к дате», где $164 платят не торгуясь. Совет объединил: трайал с зачётом + «визит к дате» (предложение №10), витринную роль пересмотреть по данным пилота.</w:t>
      </w:r>
    </w:p>
    <w:p>
      <w:r>
        <w:rPr>
          <w:b/>
        </w:rPr>
        <w:t>Триггерный наём 85%.</w:t>
      </w:r>
      <w:r>
        <w:t xml:space="preserve"> Инвестор и бриф хвалят как защиту капитала; COO предупреждает: для Годов 3–5 триггерный наём с 6 неделями на поиск и обучение гарантирует срывы SLA — управленческий слой (диспетчер, супервайзеры, обучение) надо нанимать с опережением. Консенсус: триггерный — для полевых команд Годов 1–2, опережающий — для операционного слоя с Года 3.</w:t>
      </w:r>
    </w:p>
    <w:p>
      <w:r>
        <w:rPr>
          <w:b/>
        </w:rPr>
        <w:t>Потолок CAC.</w:t>
      </w:r>
      <w:r>
        <w:t xml:space="preserve"> Бриф и инвестор держат порог ≤25 000 ֏; CMO и CFO считают, что LTV (~$1 800 валовой прибыли) позволяет blended CAC $100–120 и агрессивную покупку роста. Консенсус: 25 000 ֏ — цель для смешанного CAC (с учётом рефералов и церквей), но платные каналы допустимы до $100–120 при подтверждённом retention.</w:t>
      </w:r>
    </w:p>
    <w:p>
      <w:r>
        <w:rPr>
          <w:b/>
        </w:rPr>
        <w:t>Тон по третьему человеку в тяжёлой команде.</w:t>
      </w:r>
      <w:r>
        <w:t xml:space="preserve"> Инвестор фиксирует +3,6 млн ֏/год как утяжеление худшего сценария; COO защищает тройку как решение реальных узких мест (водитель не бросает авто, третий отвечает за съёмку — то, за что клиент платит). Совет принимает тройку, но требует пересчёта v6.0 (предложение №5) и роли №3 как ответственного за отчёт.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