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0" w:name="section"/>
      <w:r>
        <w:t>Задачник — Давид (владелец, финансирование)</w:t>
      </w:r>
      <w:bookmarkEnd w:id="0"/>
    </w:p>
    <w:p>
      <w:r>
        <w:t>06.08.2026 · Отсортировано по важности.</w:t>
      </w:r>
    </w:p>
    <w:p>
      <w:pPr>
        <w:pStyle w:val="Heading2"/>
        <ck:id v="section-1"/>
      </w:pPr>
      <w:bookmarkStart w:id="1" w:name="section_1"/>
      <w:r>
        <w:t>Критично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Америабанк — 07.08.</w:t>
      </w:r>
      <w:r>
        <w:t xml:space="preserve"> Открытие счёта + заявка на интернет-эквайринг. Обязательно проговорить: приём иностранных Visa/MC (США/ЕС/РФ), комиссии по зарубежным картам, процедура и статистика чарджбэков, сроки подключения, требования к мерчанту, 3-D Secure, Apple Pay/Google Pay. Сделано: счёт открыт, заявка на эквайринг подана, известны сроки.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Первый транш финансирования по потребности.</w:t>
      </w:r>
      <w:r>
        <w:t xml:space="preserve"> По модели v6.0 пик потребности ~5,0 млн ֏ (с резервами); ближайшие платежи: подрядчики (2,2 млн по вехам), контент 500 тыс. (мес 1–3), страхование и резерв инцидентов 500 тыс. Сделано: график траншей согласован с Хайком под календарь платежей.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Подписи договоров подрядчиков</w:t>
      </w:r>
      <w:r>
        <w:t xml:space="preserve"> (со стороны компании). Срок: до 08.08.</w:t>
      </w:r>
    </w:p>
    <w:p>
      <w:pPr>
        <w:pStyle w:val="Heading2"/>
        <ck:id v="section-2"/>
      </w:pPr>
      <w:bookmarkStart w:id="2" w:name="section_2"/>
      <w:r>
        <w:t>Высокий приоритет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</w:rPr>
        <w:t>Договор аренды авто</w:t>
      </w:r>
      <w:r>
        <w:t xml:space="preserve"> (твоё авто → компания): подписать версию юриста по рыночной ставке. Связано: покупка Ford Transit Connect, если ещё не куплен — решение по срокам под пилот.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Перенос оплаты Claude Max</w:t>
      </w:r>
      <w:r>
        <w:t xml:space="preserve"> с личной карты на компанию — дать бухгалтеру данные по прошлым платежам для возмещения.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Kill-критерий</w:t>
      </w:r>
      <w:r>
        <w:t xml:space="preserve"> (принят 06.08): подтвердить понимание — &lt;40 платящих клиентов к месяцу 4 после запуска = стоп и совместная пересборка модели, не автоматический долив.</w:t>
      </w:r>
    </w:p>
    <w:p>
      <w:pPr>
        <w:pStyle w:val="Heading2"/>
        <ck:id v="section-3"/>
      </w:pPr>
      <w:bookmarkStart w:id="3" w:name="section_3"/>
      <w:r>
        <w:t>Средний приоритет</w:t>
      </w:r>
      <w:bookmarkEnd w:id="3"/>
    </w:p>
    <w:p>
      <w:pPr>
        <w:pStyle w:val="ListParagraph"/>
        <w:numPr>
          <w:ilvl w:val="0"/>
          <w:numId w:val="3"/>
        </w:numPr>
      </w:pPr>
      <w:r>
        <w:t>Участие в разборе пилота (конец сентября): себестоимость факта, маржа «Максимума», решение по «плати после первого отчёта».</w:t>
      </w:r>
    </w:p>
    <w:p>
      <w:pPr>
        <w:pStyle w:val="ListParagraph"/>
        <w:numPr>
          <w:ilvl w:val="0"/>
          <w:numId w:val="3"/>
        </w:numPr>
      </w:pPr>
      <w:r>
        <w:t>Решение о запуске QR-мемориала (Год 2) — по итогам Года 1, отдельным решением.</w:t>
      </w:r>
    </w:p>
    <w:p>
      <w:pPr>
        <w:pStyle w:val="ListParagraph"/>
        <w:numPr>
          <w:ilvl w:val="0"/>
          <w:numId w:val="3"/>
        </w:numPr>
      </w:pPr>
      <w:r>
        <w:t>В конце Года 2 — решение о ценах при НДС-переходе Года 3 (поднимать ~8–15% или поглощать).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4"/>
    </w:lvlOverride>
  </w:num>
  <w:num w:numId="3">
    <w:abstractNumId w:val="2"/>
    <w:lvlOverride w:ilvl="0">
      <w:startOverride w:val="7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