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Задачник — Юрист (Айк Айрапетян)</w:t>
      </w:r>
      <w:bookmarkEnd w:id="0"/>
    </w:p>
    <w:p>
      <w:r>
        <w:t>06.08.2026 · Отсортировано по важности.</w:t>
      </w:r>
    </w:p>
    <w:p>
      <w:pPr>
        <w:pStyle w:val="Heading2"/>
        <ck:id v="section-1"/>
      </w:pPr>
      <w:bookmarkStart w:id="1" w:name="section_1"/>
      <w:r>
        <w:t>Критично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Кладбище — рамочный договор с оператором</w:t>
      </w:r>
      <w:r>
        <w:t xml:space="preserve"> (решение 06.08: цель — договор, не письмо). Первый контакт ≤13.08, доклад 20.08. В договоре/позиции обязательно: (а) право коммерческой бригады работать по поручению семьи; (б) есть ли эксклюзив/концессия оператора; (в) въезд и парковка авто; (г) доступ к воде; (д) вывоз мусора; (е) фото/видеосъёмка; (ж) статус относительно смотрителей и частников. Если молчание &gt;2 недель — личный визит с Хайком/Давидом.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Договоры дизайнера и программистов — к подписи до 08.08.</w:t>
      </w:r>
      <w:r>
        <w:t xml:space="preserve"> Обязательные пункты: вехи и порядок приёмки; переход исключительных прав на код/макеты/исходники по мере оплаты вех (не «после полной оплаты»); передача git/Figma как условие приёмки; ретроактивная оговорка на уже выполненные работы; оплата частями (например 30/40/30); возможность паузы при отрицательном ответе кладбища.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Налоговый меморандум — до 13.08</w:t>
      </w:r>
      <w:r>
        <w:t xml:space="preserve"> (1 страница, письменно): подтверждение режима 10% с оборота; порог НДС 115 млн ֏ и порядок перехода; требование онлайн-кассы/фискализации при карточных платежах из-за рубежа; момент признания выручки при годовой предоплате (касса vs deferred) — предварительная позиция до бухгалтера.</w:t>
      </w:r>
    </w:p>
    <w:p>
      <w:pPr>
        <w:pStyle w:val="Heading2"/>
        <ck:id v="section-2"/>
      </w:pPr>
      <w:bookmarkStart w:id="2" w:name="section_2"/>
      <w:r>
        <w:t>Высокий приоритет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</w:rPr>
        <w:t>Страхование гражданской ответственности — до пилота</w:t>
      </w:r>
      <w:r>
        <w:t xml:space="preserve"> (порча имущества/соседних могил при работах): подбор полиса, оформление. Плюс фиксация резерва инцидентов 500 000 ֏ решением владельца.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Юрпакет платформы — до первого платежа:</w:t>
      </w:r>
      <w:r>
        <w:t xml:space="preserve"> публичная оферта для клиентов США/ЕС (возвраты pro-rata, отказ 14 дней, автопродление только с явным согласием, юрисдикция); privacy policy EN/FR (GDPR применим: сайт на FR/EN, карты ЕС); согласия субаккаунтов «Семейного круга» (субаккаунт принимает оферту при первом входе); протокол съёмки (чужие могилы и посетители в кадр — никогда; блюр в маркетинге).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Договор аренды авто Давид → компания</w:t>
      </w:r>
      <w:r>
        <w:t xml:space="preserve"> по рыночной ставке (related-party, документировать рыночность).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Трудовые договоры полевых сотрудников</w:t>
      </w:r>
      <w:r>
        <w:t xml:space="preserve"> — шаблон до найма; оформление ДО первого выхода (включая «тестовые дни» — иначе штрафы); фиксация: зарплаты net (400/300/300 тыс.), gross считает бухгалтер.</w:t>
      </w:r>
    </w:p>
    <w:p>
      <w:pPr>
        <w:pStyle w:val="Heading2"/>
        <ck:id v="section-3"/>
      </w:pPr>
      <w:bookmarkStart w:id="3" w:name="section_3"/>
      <w:r>
        <w:t>Средний приоритет</w:t>
      </w:r>
      <w:bookmarkEnd w:id="3"/>
    </w:p>
    <w:p>
      <w:pPr>
        <w:pStyle w:val="ListParagraph"/>
        <w:numPr>
          <w:ilvl w:val="0"/>
          <w:numId w:val="3"/>
        </w:numPr>
      </w:pPr>
      <w:r>
        <w:t>Сбор первички по всем тратам в одну папку — до выхода бухгалтера (20.08), затем передача.</w:t>
      </w:r>
    </w:p>
    <w:p>
      <w:pPr>
        <w:pStyle w:val="ListParagraph"/>
        <w:numPr>
          <w:ilvl w:val="0"/>
          <w:numId w:val="3"/>
        </w:numPr>
      </w:pPr>
      <w:r>
        <w:t>Шаблон клиентского договора/условий для пилота (5–10 визитов по полной цене) — можно упрощённый, но письменный.</w:t>
      </w:r>
    </w:p>
    <w:p>
      <w:pPr>
        <w:pStyle w:val="ListParagraph"/>
        <w:numPr>
          <w:ilvl w:val="0"/>
          <w:numId w:val="3"/>
        </w:numPr>
      </w:pPr>
      <w:r>
        <w:t>Проверка использования слогана и названия: товарный знак MemoryCare + «Honoring Memory, Caring for Loved Ones.» в Армении — целесообразность регистрации (доклад к концу месяца).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