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1-200-000-45"/>
      </w:pPr>
      <w:bookmarkStart w:id="0" w:name="_1_200_000_45"/>
      <w:r>
        <w:t>Задачник — Программисты (контракт 1 200 000 ֏, срок ~45 дней)</w:t>
      </w:r>
      <w:bookmarkEnd w:id="0"/>
    </w:p>
    <w:p>
      <w:r>
        <w:t xml:space="preserve">06.08.2026 (ред. 2) · Отсортировано по важности. Языки платформы: </w:t>
      </w:r>
      <w:r>
        <w:rPr>
          <w:b/>
        </w:rPr>
        <w:t>ARM/ENG/RUS (3 языка на старте; французский — позже)</w:t>
      </w:r>
      <w:r>
        <w:t>, мобайл-фёрст. Критерий финальной приёмки: клиент из США оставляет заявку и может оплатить картой, видит свой отчёт в кабинете.</w:t>
      </w:r>
    </w:p>
    <w:p>
      <w:pPr>
        <w:pStyle w:val="Heading2"/>
        <ck:id v="section"/>
      </w:pPr>
      <w:bookmarkStart w:id="1" w:name="section"/>
      <w:r>
        <w:t>Критично</w:t>
      </w:r>
      <w:bookmarkEnd w:id="1"/>
    </w:p>
    <w:p>
      <w:pPr>
        <w:pStyle w:val="ListParagraph"/>
        <w:numPr>
          <w:ilvl w:val="0"/>
          <w:numId w:val="6"/>
        </w:numPr>
      </w:pPr>
      <w:r>
        <w:rPr>
          <w:b/>
        </w:rPr>
        <w:t>Оплата и продукты:</w:t>
      </w:r>
      <w:r>
        <w:t xml:space="preserve"> интеграция эквайринга Америабанка; международные карты Visa/MC, 3-D Secure на мобильном, понятный descriptor, Apple Pay/Google Pay при возможности; тестовые платежи картами США/ЕС до релиза. </w:t>
      </w:r>
      <w:r>
        <w:rPr>
          <w:b/>
        </w:rPr>
        <w:t>Четыре продукта:</w:t>
      </w:r>
      <w:r>
        <w:t xml:space="preserve"> «Զննում» (Осмотр) </w:t>
      </w:r>
      <w:r>
        <w:rPr>
          <w:b/>
        </w:rPr>
        <w:t>20 000</w:t>
      </w:r>
      <w:r>
        <w:t xml:space="preserve"> — разовый визит + фото/видеоотчёт состояния + список рекомендуемых работ с ценами, зачёт в любой пакет за 30 дней, </w:t>
      </w:r>
      <w:r>
        <w:rPr>
          <w:b/>
        </w:rPr>
        <w:t>GPS-метка участка сохраняется в карточке клиента</w:t>
      </w:r>
      <w:r>
        <w:t xml:space="preserve"> (рабочие команды далее едут по метке); Экспресс </w:t>
      </w:r>
      <w:r>
        <w:rPr>
          <w:b/>
        </w:rPr>
        <w:t>60 000</w:t>
      </w:r>
      <w:r>
        <w:t xml:space="preserve"> — зачёт в подписку за 60 дней, при отсутствии перехода повторный Экспресс в тот же год автоматически по </w:t>
      </w:r>
      <w:r>
        <w:rPr>
          <w:b/>
        </w:rPr>
        <w:t>40 000 ֏</w:t>
      </w:r>
      <w:r>
        <w:t>; Оптимальный 180 000 (2Т+4Л); Максимум 240 000 (</w:t>
      </w:r>
      <w:r>
        <w:rPr>
          <w:b/>
        </w:rPr>
        <w:t>3Т+6Л, 9 визитов</w:t>
      </w:r>
      <w:r>
        <w:t xml:space="preserve"> — решение 07.08).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Отчёты — ядро продукта:</w:t>
      </w:r>
      <w:r>
        <w:t xml:space="preserve"> загрузка фото/видео, автоматическая GPS-метка и дата; </w:t>
      </w:r>
      <w:r>
        <w:rPr>
          <w:b/>
        </w:rPr>
        <w:t>визит нельзя закрыть без GPS и 4 фиксированных ракурсов до/после</w:t>
      </w:r>
      <w:r>
        <w:t>; шаблон отображения от дизайнера; уведомление клиенту при публикации отчёта. Для «Զննում» — отдельный формат отчёта: состояние + рекомендуемые работы с ценами (генератор апсейла).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«Семейный круг» (с запуска):</w:t>
      </w:r>
      <w:r>
        <w:t xml:space="preserve"> владелец аккаунта приглашает родственников по ссылке; субаккаунт видит отчёты и заказывает разовые сервисы; субаккаунт принимает оферту при первом входе; </w:t>
      </w:r>
      <w:r>
        <w:rPr>
          <w:b/>
        </w:rPr>
        <w:t>реферальная награда (решение 07.08): сервис-подарок «цветы к памятной дате» с фотоотчётом</w:t>
      </w:r>
      <w:r>
        <w:t xml:space="preserve"> (механика «лёгкий визит обоим» отменена); субаккаунт может конвертироваться в самостоятельного клиента.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CTA и воронка (решение 06.08):</w:t>
      </w:r>
      <w:r>
        <w:t xml:space="preserve"> главный CTA — заявка на бесплатную консультацию (имя + телефон/WhatsApp) с фиксацией в CRM; онлайн-оплата — вторичный путь.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Юрпакет в продукте:</w:t>
      </w:r>
      <w:r>
        <w:t xml:space="preserve"> страницы оферты и privacy policy (EN обязательно), чекбоксы согласий, автопродление только с явным согласием, поток возврата по оферте.</w:t>
      </w:r>
    </w:p>
    <w:p>
      <w:pPr>
        <w:pStyle w:val="Heading2"/>
        <ck:id v="section-1"/>
      </w:pPr>
      <w:bookmarkStart w:id="2" w:name="section_1"/>
      <w:r>
        <w:t>Высокий приоритет</w:t>
      </w:r>
      <w:bookmarkEnd w:id="2"/>
    </w:p>
    <w:p>
      <w:pPr>
        <w:pStyle w:val="ListParagraph"/>
        <w:numPr>
          <w:ilvl w:val="0"/>
          <w:numId w:val="2"/>
        </w:numPr>
      </w:pPr>
      <w:r>
        <w:t>Личный кабинет: подписка, график визитов, история отчётов, статус («визит запланирован/выполнен»), смена тарифа.</w:t>
      </w:r>
    </w:p>
    <w:p>
      <w:pPr>
        <w:pStyle w:val="ListParagraph"/>
        <w:numPr>
          <w:ilvl w:val="0"/>
          <w:numId w:val="2"/>
        </w:numPr>
      </w:pPr>
      <w:r>
        <w:t>Админка для операций: календарь визитов, чек-лист протокола визита (см. документ 15) прямо в приложении полевой команды, закрытие визита только при выполнении чек-листа.</w:t>
      </w:r>
    </w:p>
    <w:p>
      <w:pPr>
        <w:pStyle w:val="ListParagraph"/>
        <w:numPr>
          <w:ilvl w:val="0"/>
          <w:numId w:val="2"/>
        </w:numPr>
      </w:pPr>
      <w:r>
        <w:t>Аналитика: UTM-метки, источник каждого лида в CRM, событtopка воронки (визит → оплата), дашборд CAC по каналам.</w:t>
      </w:r>
    </w:p>
    <w:p>
      <w:pPr>
        <w:pStyle w:val="ListParagraph"/>
        <w:numPr>
          <w:ilvl w:val="0"/>
          <w:numId w:val="2"/>
        </w:numPr>
      </w:pPr>
      <w:r>
        <w:t>Контакты и реквизиты: телефон, info@memorycare.am, юрданные в футере (координация с Хайком).</w:t>
      </w:r>
    </w:p>
    <w:p>
      <w:pPr>
        <w:pStyle w:val="Heading2"/>
        <ck:id v="section-2"/>
      </w:pPr>
      <w:bookmarkStart w:id="3" w:name="section_2"/>
      <w:r>
        <w:t>Средний приоритет</w:t>
      </w:r>
      <w:bookmarkEnd w:id="3"/>
    </w:p>
    <w:p>
      <w:pPr>
        <w:pStyle w:val="ListParagraph"/>
        <w:numPr>
          <w:ilvl w:val="0"/>
          <w:numId w:val="5"/>
        </w:numPr>
      </w:pPr>
      <w:r>
        <w:t>Мультивалютное отображение цен (֏ основная, $/€ справочно, пометка «ориентировочно»).</w:t>
      </w:r>
    </w:p>
    <w:p>
      <w:pPr>
        <w:pStyle w:val="ListParagraph"/>
        <w:numPr>
          <w:ilvl w:val="0"/>
          <w:numId w:val="5"/>
        </w:numPr>
      </w:pPr>
      <w:r>
        <w:t>Email-цепочки: подтверждение оплаты, отчёт готов, приглашение «Семейного круга», напоминание о продлении за 60 дней, напоминание о зачёте Экспресса до истечения 60 дней.</w:t>
      </w:r>
    </w:p>
    <w:p>
      <w:pPr>
        <w:pStyle w:val="ListParagraph"/>
        <w:numPr>
          <w:ilvl w:val="0"/>
          <w:numId w:val="5"/>
        </w:numPr>
      </w:pPr>
      <w:r>
        <w:t xml:space="preserve">SEO-база: </w:t>
      </w:r>
      <w:r>
        <w:rPr>
          <w:b/>
        </w:rPr>
        <w:t>hreflang на 3 языка (ARM/ENG/RUS)</w:t>
      </w:r>
      <w:r>
        <w:t>, sitemap, скорость на мобильных; в англоязычных материалах — категорийный дескриптор (grave care), учитывая коллизию «memory care = уход за деменцией» в США.</w:t>
      </w:r>
    </w:p>
    <w:p>
      <w:pPr>
        <w:pStyle w:val="ListParagraph"/>
        <w:numPr>
          <w:ilvl w:val="0"/>
          <w:numId w:val="5"/>
        </w:numPr>
      </w:pPr>
      <w:r>
        <w:t>Передача кода: git-репозиторий компании — условие приёмки вехи (по договору).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5"/>
    </w:lvlOverride>
  </w:num>
  <w:num w:numId="3">
    <w:abstractNumId w:val="2"/>
    <w:lvlOverride w:ilvl="0">
      <w:startOverride w:val="9"/>
    </w:lvlOverride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9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