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memorycare-investor-documentation-package"/>
      </w:pPr>
      <w:bookmarkStart w:id="0" w:name="memorycare_investor_documentation_packag"/>
      <w:r>
        <w:t>MemoryCare — Investor Documentation Package</w:t>
      </w:r>
      <w:bookmarkEnd w:id="0"/>
    </w:p>
    <w:p>
      <w:r>
        <w:rPr>
          <w:b/>
        </w:rPr>
        <w:t>Version 3.2 · August 7, 2026 · Confidential</w:t>
      </w:r>
    </w:p>
    <w:p>
      <w:r>
        <w:t>MemoryCare (Memory Care LLC, Yerevan, Armenia) is a subscription service for the professional care of family memorial sites, with every visit verified by photo, video, and GPS evidence delivered to the client's personal account. This package contains the complete, board-reviewed documentation set: business plan, global competitive analysis, go-to-market plan, SWOT, five-year growth strategy, advisory council report, role-based execution task lists, field operating protocol, and a fully integrated 60-month financial model.</w:t>
      </w:r>
    </w:p>
    <w:p>
      <w:pPr>
        <w:pStyle w:val="Heading2"/>
        <ck:id v="contents"/>
      </w:pPr>
      <w:bookmarkStart w:id="1" w:name="contents"/>
      <w:r>
        <w:t>Contents</w:t>
      </w:r>
      <w:bookmarkEnd w:id="1"/>
    </w:p>
    <w:p>
      <w:r>
        <w:rPr>
          <w:b/>
        </w:rPr>
        <w:t>00 — This overview.</w:t>
      </w:r>
      <w:r>
        <w:t xml:space="preserve"> · </w:t>
      </w:r>
      <w:r>
        <w:rPr>
          <w:b/>
        </w:rPr>
        <w:t>01 — Business Plan v4.0</w:t>
      </w:r>
      <w:r>
        <w:t xml:space="preserve"> — the master document: product line, market sizing, operating model, financials, risk, and governance. · </w:t>
      </w:r>
      <w:r>
        <w:rPr>
          <w:b/>
        </w:rPr>
        <w:t>02 — Global Competitive Analysis</w:t>
      </w:r>
      <w:r>
        <w:t xml:space="preserve"> — benchmarks from the US, Germany, Poland, Ukraine, Russia, UK, and Armenia. · </w:t>
      </w:r>
      <w:r>
        <w:rPr>
          <w:b/>
        </w:rPr>
        <w:t>03 — Go-to-Market Plan</w:t>
      </w:r>
      <w:r>
        <w:t xml:space="preserve"> — a 16-week, 23-step launch program with owners, deadlines, and KPI gates. · </w:t>
      </w:r>
      <w:r>
        <w:rPr>
          <w:b/>
        </w:rPr>
        <w:t>04 — SWOT Analysis.</w:t>
      </w:r>
      <w:r>
        <w:t xml:space="preserve"> · </w:t>
      </w:r>
      <w:r>
        <w:rPr>
          <w:b/>
        </w:rPr>
        <w:t>05 — Growth Strategy, Years 2–5</w:t>
      </w:r>
      <w:r>
        <w:t xml:space="preserve"> — one growth engine per year, each behind an entry gate. · </w:t>
      </w:r>
      <w:r>
        <w:rPr>
          <w:b/>
        </w:rPr>
        <w:t>07 — Decision Log</w:t>
      </w:r>
      <w:r>
        <w:t xml:space="preserve"> — every material decision taken, dated and reconciled across the package. · </w:t>
      </w:r>
      <w:r>
        <w:rPr>
          <w:b/>
        </w:rPr>
        <w:t>08 — Advisory Council Report</w:t>
      </w:r>
      <w:r>
        <w:t xml:space="preserve"> — the full findings of a six-expert independent review (contrarian investor, CFO, legal counsel, COO, CMO, customer voice) with a chairman's synthesis. · </w:t>
      </w:r>
      <w:r>
        <w:rPr>
          <w:b/>
        </w:rPr>
        <w:t>09–14 — Role Task Lists</w:t>
      </w:r>
      <w:r>
        <w:t xml:space="preserve"> (CBDO, CEO, Legal, Accounting, Design, Engineering), sorted by priority. · </w:t>
      </w:r>
      <w:r>
        <w:rPr>
          <w:b/>
        </w:rPr>
        <w:t>15 — Field Visit Protocol</w:t>
      </w:r>
      <w:r>
        <w:t xml:space="preserve"> — the enforced quality standard behind the product. · </w:t>
      </w:r>
      <w:r>
        <w:rPr>
          <w:b/>
        </w:rPr>
        <w:t>16 — Recruitment Materials.</w:t>
      </w:r>
      <w:r>
        <w:t xml:space="preserve"> · </w:t>
      </w:r>
      <w:r>
        <w:rPr>
          <w:b/>
        </w:rPr>
        <w:t>MemoryCare_FinModel_v6.0_EN.xlsx</w:t>
      </w:r>
      <w:r>
        <w:t xml:space="preserve"> — 60-month monthly model: 85% renewal cohorts, utilization-triggered hiring, gross salary loading, marketing spend laddered to CAC, VAT-regime switch from Year 3, and reserves. 1,100+ formulas, zero errors on recalculation.</w:t>
      </w:r>
    </w:p>
    <w:p>
      <w:pPr>
        <w:pStyle w:val="Heading2"/>
        <ck:id v="headline-figures-base-case"/>
      </w:pPr>
      <w:bookmarkStart w:id="2" w:name="headline_figures_base_case"/>
      <w:r>
        <w:t>Headline figures (base case)</w:t>
      </w:r>
      <w:bookmarkEnd w:id="2"/>
    </w:p>
    <w:p>
      <w:r>
        <w:t>Four-product line: Znnum (Inspection) AMD 20,000 — a low-friction entry product that also captures the plot's GPS location for operations · Express AMD 60,000 (single deep-care visit; fully credited toward a subscription within 60 days; repeat visit at AMD 40,000) · Optimal AMD 180,000 (6 visits/year, flagship) · Maximum AMD 240,000 (9 visits/year; gross margin ~50%).</w:t>
      </w:r>
    </w:p>
    <w:p>
      <w:r>
        <w:t xml:space="preserve">Active clients at year end: </w:t>
      </w:r>
      <w:r>
        <w:rPr>
          <w:b/>
        </w:rPr>
        <w:t>192 → 423 → 803 → 1,326 → 1,990</w:t>
      </w:r>
      <w:r>
        <w:t xml:space="preserve"> (≈13% penetration of the 12–18k-family serviceable market). Revenue: </w:t>
      </w:r>
      <w:r>
        <w:rPr>
          <w:b/>
        </w:rPr>
        <w:t>AMD 34.6M → 358.2M</w:t>
      </w:r>
      <w:r>
        <w:t xml:space="preserve"> over five years. EBITDA: </w:t>
      </w:r>
      <w:r>
        <w:rPr>
          <w:b/>
        </w:rPr>
        <w:t>−AMD 1.7M in Year 1 (a deliberate investment year)</w:t>
      </w:r>
      <w:r>
        <w:t xml:space="preserve"> rising to </w:t>
      </w:r>
      <w:r>
        <w:rPr>
          <w:b/>
        </w:rPr>
        <w:t>≈ USD 306K by Year 5</w:t>
      </w:r>
      <w:r>
        <w:t xml:space="preserve">. Peak funding requirement: </w:t>
      </w:r>
      <w:r>
        <w:rPr>
          <w:b/>
        </w:rPr>
        <w:t>≈ AMD 5.0M (≈ USD 13.8K)</w:t>
      </w:r>
      <w:r>
        <w:t xml:space="preserve"> including a 28% contingency and an incident reserve — funded by the owner in tranches as needed. A pre-agreed kill criterion (fewer than 40 paying clients by month 4 post-launch triggers a model rebuild, not additional funding) protects invested capital.</w:t>
      </w:r>
    </w:p>
    <w:p>
      <w:pPr>
        <w:pStyle w:val="Heading2"/>
        <ck:id v="launch-readiness"/>
      </w:pPr>
      <w:bookmarkStart w:id="3" w:name="launch_readiness"/>
      <w:r>
        <w:t>Launch readiness</w:t>
      </w:r>
      <w:bookmarkEnd w:id="3"/>
    </w:p>
    <w:p>
      <w:r>
        <w:t>Signed-scope contractors are already delivering: full brand design (AMD 1.0M, ~1 month) and the client platform (AMD 1.2M, ~45 days — payments by international cards, client dashboard, verified reporting, Family Circle sub-accounts, in three languages ARM/ENG/RUS). Legal counsel is on retainer; an accountant is being onboarded. The remaining pre-launch gates are administrative, not financial: a framework agreement with the cemetery operator, the tax-regime memorandum, insurance, and live foreign-card payment testing. A paid pilot (5–10 full-price visits, including diaspora clients) is scheduled for September.</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