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go-to-market-plan"/>
      </w:pPr>
      <w:bookmarkStart w:id="0" w:name="memorycare_go_to_market_plan"/>
      <w:r>
        <w:t>MemoryCare — Go-to-Market Plan</w:t>
      </w:r>
      <w:bookmarkEnd w:id="0"/>
    </w:p>
    <w:p>
      <w:r>
        <w:t>August 7, 2026 · Confidential · Horizon: 16 weeks from today to full commercial operation. This is an operating plan — every step has an owner and a done-criterion.</w:t>
      </w:r>
    </w:p>
    <w:p>
      <w:pPr>
        <w:pStyle w:val="Heading2"/>
        <ck:id v="operating-principle"/>
      </w:pPr>
      <w:bookmarkStart w:id="1" w:name="operating_principle"/>
      <w:r>
        <w:t>Operating principle</w:t>
      </w:r>
      <w:bookmarkEnd w:id="1"/>
    </w:p>
    <w:p>
      <w:r>
        <w:t>The sale is built on trust, and trust on evidence. Not one dram of paid advertising runs until we have: a documented basis for operating at the cemetery (target: a framework agreement with the operator), three or more real photo/video case studies, real contact details, and a working foreign-card payment.</w:t>
      </w:r>
    </w:p>
    <w:p>
      <w:pPr>
        <w:pStyle w:val="Heading2"/>
        <ck:id v="stage-0-weeks-12-gates"/>
      </w:pPr>
      <w:bookmarkStart w:id="2" w:name="stage_0_weeks_12_gates"/>
      <w:r>
        <w:t>Stage 0 · Weeks 1–2 — Gates</w:t>
      </w:r>
      <w:bookmarkEnd w:id="2"/>
    </w:p>
    <w:p>
      <w:r>
        <w:t>Step 1 (Legal counsel; first contact ≤1 week). Negotiations with the cemetery operator; target — a framework agreement covering: right to perform commercial works, vehicle access, water access, waste removal, filming, and status relative to caretakers. Done: agreement, or the operator's written position. Step 2 (Legal; this week). Contractor agreements signed with the designer and the development team: milestones, acceptance, IP transfer with milestone payments, source files as an acceptance condition. Step 3 (CEO). Ameriabank: account and internet acquiring — foreign Visa/MC, fees, chargeback procedure. Done: a live test payment with a US/EU card. Step 4 (Legal). Tax memorandum: turnover-tax regime, fiscal receipt requirements, annual-prepayment revenue recognition. Step 5 (CBDO). Accountant onboarded; until then, primary documents are archived by counsel. Step 6 (CBDO; this week). Real phone number and info@memorycare.am on the site, with corporate registration details. Step 7 (Legal; before the pilot). Liability insurance + AMD 500K incident reserve; platform legal pack (US/EU terms with refunds, privacy policy in English, sub-account consents).</w:t>
      </w:r>
    </w:p>
    <w:p>
      <w:pPr>
        <w:pStyle w:val="Heading2"/>
        <ck:id v="stage-1-weeks-27-product-and-trust-assets"/>
      </w:pPr>
      <w:bookmarkStart w:id="3" w:name="stage_1_weeks_27_product_and_trust_asset"/>
      <w:r>
        <w:t>Stage 1 · Weeks 2–7 — Product and trust assets</w:t>
      </w:r>
      <w:bookmarkEnd w:id="3"/>
    </w:p>
    <w:p>
      <w:r>
        <w:t xml:space="preserve">Step 8 (Designer, ~4 weeks). Full brand delivery: vector logo, brand book with the slogan "Honoring Memory, Caring for Loved Ones.", report template, crew uniform, vehicle livery, social templates. The completed design brief was handed over August 6; the designer has creative freedom — only the MemoryCare name is fixed. Step 9 (Developers, ~6–7 weeks). Platform: </w:t>
      </w:r>
      <w:r>
        <w:rPr>
          <w:b/>
        </w:rPr>
        <w:t>four products</w:t>
      </w:r>
      <w:r>
        <w:t xml:space="preserve"> — Znnum AMD 20,000 (inspection + condition report + recommended-works list; credited toward any package within 30 days; plot GPS saved to the client file), Express AMD 60,000 (credited within 60 days; repeat at 40,000), Optimal 180,000, Maximum 240,000 (3 deep + 6 light); international card payments; client dashboard; photo/video/GPS reports; </w:t>
      </w:r>
      <w:r>
        <w:rPr>
          <w:b/>
        </w:rPr>
        <w:t>three languages (ARM/ENG/RUS)</w:t>
      </w:r>
      <w:r>
        <w:t>; Family Circle (invitations; referral reward — a memorial-date flower service with photo report); legal pack; "a visit cannot be closed without GPS and four fixed before/after angles." Primary CTA — free-consultation request. Acceptance test: a US client submits a request AND can pay by card. Step 10 (CBDO). Hire two pilot technicians (Document 16), formally employed before first field day; train to the Field Visit Protocol (Document 15); two rehearsal visits. Step 11 (CBDO). Collect 5–10 real freelancer quotes — the marketing price anchor.</w:t>
      </w:r>
    </w:p>
    <w:p>
      <w:pPr>
        <w:pStyle w:val="Heading2"/>
        <ck:id v="stage-2-weeks-710-paid-pilot-september"/>
      </w:pPr>
      <w:bookmarkStart w:id="4" w:name="stage_2_weeks_710_paid_pilot_september"/>
      <w:r>
        <w:t>Stage 2 · Weeks 7–10 — Paid pilot (September)</w:t>
      </w:r>
      <w:bookmarkEnd w:id="4"/>
    </w:p>
    <w:p>
      <w:r>
        <w:t>Step 12. 5–10 paid visits at full price, crew of CBDO + two technicians, at least 1–2 diaspora clients; every visit executed to protocol and reported through the platform. Step 13. From each client: permission to publish the case and a short testimonial. Stage done: 3+ publishable before/after cases, 2+ testimonials, 1+ from the diaspora. Step 14. Pilot debrief: actual visit time versus 2.5 sites/day, real consumables, cemetery relations, field-validated unit costs and Maximum-tier margin; decisions on "pay after first report" and on the Express display role.</w:t>
      </w:r>
    </w:p>
    <w:p>
      <w:pPr>
        <w:pStyle w:val="Heading2"/>
        <ck:id v="stage-3-weeks-1013-soft-launch"/>
      </w:pPr>
      <w:bookmarkStart w:id="5" w:name="stage_3_weeks_1013_soft_launch"/>
      <w:r>
        <w:t>Stage 3 · Weeks 10–13 — Soft launch</w:t>
      </w:r>
      <w:bookmarkEnd w:id="5"/>
    </w:p>
    <w:p>
      <w:r>
        <w:t xml:space="preserve">Step 15. Site update: cases, testimonials, basis for cemetery operations, price anchoring. </w:t>
      </w:r>
      <w:r>
        <w:rPr>
          <w:b/>
        </w:rPr>
        <w:t>Entry showcase — Znnum at AMD 20,000:</w:t>
      </w:r>
      <w:r>
        <w:t xml:space="preserve"> "Not sure yet? Start with an inspection — see the real condition and receive a works plan; the fee is credited when you buy a package." Step 16. Organic seeding across diaspora communities (ready target lists for Glendale/LA, Toronto, France, Germany, Moscow) — case-study posts from personal profiles, 3–4 communities/day, language-matched. Client-facing copy uses "family sacred place." Step 17. Partnerships: first five letters (Armenian churches in LA/Marseille/Moscow, AGBU network, diaspora media). Done: one confirmed partnership. Step 18. Family Circle in marketing: invitations at the moment a report is delivered, one-tap WhatsApp/Viber sharing; referral reward — the memorial-date flower service. Target: viral factor ≥0.3 by quarter end. Step 19. Analytics: UTM on every channel, lead-source capture in CRM, weekly dashboard (leads → payments → CAC by channel; separately, Znnum→package and Express→subscription conversion).</w:t>
      </w:r>
    </w:p>
    <w:p>
      <w:pPr>
        <w:pStyle w:val="Heading2"/>
        <ck:id v="stage-4-weeks-1316-paid-marketing-cac-ladder"/>
      </w:pPr>
      <w:bookmarkStart w:id="6" w:name="stage_4_weeks_1316_paid_marketing_cac_la"/>
      <w:r>
        <w:t>Stage 4 · Weeks 13–16 — Paid marketing (CAC ladder)</w:t>
      </w:r>
      <w:bookmarkEnd w:id="6"/>
    </w:p>
    <w:p>
      <w:r>
        <w:t>Step 20. Budget ladder: AMD 146K/month through month 4 → USD 1,500/month from month 5 → USD 4,000/month in Year 2 → 10% of revenue in Years 3–5. Each step unlocks only at blended CAC ≤ AMD 25,000 and cohort NPS ≥8; any channel above AMD 45,000 CAC for two consecutive months is cut. Step 21. Channels: Meta (diaspora geo-targeting US/France/Germany; US ads carry a category descriptor and negative keywords against "memory care" as dementia care), Google Search (brand + category terms in ARM/ENG/RUS; French-speaking diaspora served in English until FR is added), retargeting; Russia via diaspora Telegram channels. Step 22. Creative: the video report as the product, before/after cases, diaspora testimonial, Family Circle. Step 23. Weekly Monday review: numbers by channel → scale / fix / kill. Kill criterion in force: fewer than 40 paying clients by month 4 post-launch → stop and rebuild.</w:t>
      </w:r>
    </w:p>
    <w:p>
      <w:pPr>
        <w:pStyle w:val="Heading2"/>
        <ck:id v="seasonal-calendar"/>
      </w:pPr>
      <w:bookmarkStart w:id="7" w:name="seasonal_calendar"/>
      <w:r>
        <w:t>Seasonal calendar</w:t>
      </w:r>
      <w:bookmarkEnd w:id="7"/>
    </w:p>
    <w:p>
      <w:r>
        <w:t>Merelots memorial days · Easter (Zatik) · Vardavar · April 24 · New Year (peak diaspora homecoming — an offline touchpoint). Preparation starts three weeks before each date: email + social + a seasonal offer.</w:t>
      </w:r>
    </w:p>
    <w:p>
      <w:pPr>
        <w:pStyle w:val="Heading2"/>
        <ck:id v="explicitly-out-of-scope-for-year-1"/>
      </w:pPr>
      <w:bookmarkStart w:id="8" w:name="explicitly_out_of_scope_for_year_1"/>
      <w:r>
        <w:t>Explicitly out of scope for Year 1</w:t>
      </w:r>
      <w:bookmarkEnd w:id="8"/>
    </w:p>
    <w:p>
      <w:r>
        <w:t>No QR-memorial mentions in public materials · no pilot discounts · no paid traffic before trust assets exist · no "pay after first report" without an owner decision · no second city.</w:t>
      </w:r>
    </w:p>
    <w:p>
      <w:pPr>
        <w:pStyle w:val="Heading2"/>
        <ck:id v="16-week-targets"/>
      </w:pPr>
      <w:bookmarkStart w:id="9" w:name="_16_week_targets"/>
      <w:r>
        <w:t>16-week targets</w:t>
      </w:r>
      <w:bookmarkEnd w:id="9"/>
    </w:p>
    <w:p>
      <w:r>
        <w:t xml:space="preserve">Cemetery agreement/position · platform accepted · pilot: 5–10 visits, 3+ cases, 1+ diaspora · 1 partnership · CAC ≤ AMD 25,000. </w:t>
      </w:r>
      <w:r>
        <w:rPr>
          <w:b/>
        </w:rPr>
        <w:t>Base plan: 30–50 paid subscriptions by week 16 (governs the financial model and the kill criterion). Team stretch goal: 90+ paid clients and ≥40% lead-to-payment conversion.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