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memorycare-swot-analysis"/>
      </w:pPr>
      <w:bookmarkStart w:id="0" w:name="memorycare_swot_analysis"/>
      <w:r>
        <w:t>MemoryCare — SWOT Analysis</w:t>
      </w:r>
      <w:bookmarkEnd w:id="0"/>
    </w:p>
    <w:p>
      <w:r>
        <w:t>August 7, 2026 · Confidential · Reflects all decisions through v3.2, the advisory council's findings, and financial model v6.0. Items marked ⚠ are not yet externally validated.</w:t>
      </w:r>
    </w:p>
    <w:p>
      <w:pPr>
        <w:pStyle w:val="Heading2"/>
        <ck:id v="strengths"/>
      </w:pPr>
      <w:bookmarkStart w:id="1" w:name="strengths"/>
      <w:r>
        <w:t>Strengths</w:t>
      </w:r>
      <w:bookmarkEnd w:id="1"/>
    </w:p>
    <w:p>
      <w:r>
        <w:t>S1. A greenfield category in Armenia built on a globally proven model (Tending, Grabpflege, Styks, GraveCareUkraine); an independent six-expert review unanimously confirmed the pain is real and the business is viable. S2. The full product stack — subscription + photo + video + GPS + client dashboard + three languages + Family Circle with a referral loop — is not assembled in its entirety by any provider we studied. S3. Pricing lands inside measured willingness to pay: the flagship at USD 82/visit and Maximum at USD 73 sit in the surveyed USD 50–100 band; Znnum at AMD 20,000 (credited) removes the entry barrier altogether. S4. Discipline is engineered into the plan, not declared: utilization-triggered hiring (≥85%), a pre-agreed kill criterion, a CAC-laddered marketing budget, insurance and reserves before the pilot. S5. Funding without debt: a single committed owner financing in tranches; the peak requirement is modest (≈ USD 13.8K with reserves). S6. Execution is already contracted: full brand design (AMD 1.0M, ~1 month) and platform (AMD 1.2M, ~45 days) underway; legal counsel on retainer; accountant onboarding. S7. Realistic scale: 1,990 clients by Year 5 equals ~13% penetration of the serviceable base — ambitious yet within category norms. S8. Live infrastructure: registered company, domain, working site, a six-language research survey, ready GTM target lists, a field visit protocol, and recruitment materials.</w:t>
      </w:r>
    </w:p>
    <w:p>
      <w:pPr>
        <w:pStyle w:val="Heading2"/>
        <ck:id v="weaknesses"/>
      </w:pPr>
      <w:bookmarkStart w:id="2" w:name="weaknesses"/>
      <w:r>
        <w:t>Weaknesses</w:t>
      </w:r>
      <w:bookmarkEnd w:id="2"/>
    </w:p>
    <w:p>
      <w:r>
        <w:t xml:space="preserve">W1. </w:t>
      </w:r>
      <w:r>
        <w:rPr>
          <w:b/>
        </w:rPr>
        <w:t>Year 1 is planned at a loss (≈ −AMD 1.7M)</w:t>
      </w:r>
      <w:r>
        <w:t xml:space="preserve"> — the cost of a three-person crew at gross salaries, laddered marketing, and insurance from day one. A conscious investment, disciplined by tranches and the kill criterion. W2. Cemetery access is not yet documented; spending is already underway. Mitigation: a deadline-managed push for a framework agreement. W3. Contractor agreements are drafted but unsigned — until signature, platform IP is not yet the company's. Signing is scheduled this week. W4. Demand validation is survey-level: zero in-depth interviews, zero paid visits to date; cold diaspora conversion into prepayment is unknown. The September paid pilot addresses this directly. W5. Foreign-card payments are untested (bank onboarding in progress); terms of service and privacy documents are still to be produced. W6. The 10% turnover-tax regime is assumed, not confirmed (legal memorandum due); payroll gross-up of ×1.35 is an estimate ⚠. W7. Local freelancer pricing has not yet been collected — the marketing price anchor is missing. W8. Key-person concentration: sales, operations, and marketing all run through the CBDO; one vehicle; no field bench yet. W9. Report quality control is manual at start; the visit protocol is written but not yet field-hardened.</w:t>
      </w:r>
    </w:p>
    <w:p>
      <w:pPr>
        <w:pStyle w:val="Heading2"/>
        <ck:id v="opportunities"/>
      </w:pPr>
      <w:bookmarkStart w:id="3" w:name="opportunities"/>
      <w:r>
        <w:t>Opportunities</w:t>
      </w:r>
      <w:bookmarkEnd w:id="3"/>
    </w:p>
    <w:p>
      <w:r>
        <w:t>O1. Define the category standard in Armenia — "regular and provable" — before imitators arrive (the entry barrier is low; speed matters). O2. Untouched diaspora channels: churches, AGBU network, community groups — ready target lists, no competitor presence. O3. Family Circle as a viral engine: an invited relative costs ~AMD 4,000 to reward versus AMD 25,000 paid CAC. O4. A natural seasonal sales calendar (Merelots, Easter, Vardavar, April 24, New Year homecomings). O5. Year 2+: the QR digital memorial, "pay after first report" as a conversion lever, German-style multi-year prepaid packages, a second city, B2B community contracts. O6. The VAT transition (Year 3) is modeled with a full year of lead time for the pricing decision.</w:t>
      </w:r>
    </w:p>
    <w:p>
      <w:pPr>
        <w:pStyle w:val="Heading2"/>
        <ck:id v="threats"/>
      </w:pPr>
      <w:bookmarkStart w:id="4" w:name="threats"/>
      <w:r>
        <w:t>Threats</w:t>
      </w:r>
      <w:bookmarkEnd w:id="4"/>
    </w:p>
    <w:p>
      <w:r>
        <w:t>T1. Refusal or delay by the cemetery operator — existential; a framework agreement reduces revocation risk versus a letter. T2. Cold diaspora demand may not convert at prepayment; fallback levers: "pay after first report," then rebuild under the kill criterion. T3. Copying by local funeral-sector players once the category proves out — defended by brand, platform, partnerships, and speed. T4. Reputational asymmetry in a close-knit community: one bad incident travels fast — countered with insurance, an incident reserve, a &lt;24h response protocol, and strict filming rules. T5. Chargebacks and payment friction on international cards if acquiring is set up poorly. T6. Employment-law risk if field staff are misclassified; formal employment precedes any field day. T7. Currency exposure: prices fixed in AMD while diaspora clients think in USD. T8. In US advertising, "memory care" collides with dementia-care terminology — handled with category descriptors and negative keywords. T9. Winter seasonality depresses visit cadence — mitigated by light preventive visits and content. T10. Years 3–5 require eleven crews and a management layer; purely reactive hiring would break service levels — management roles are hired ahead of demand from Year 3.</w:t>
      </w:r>
    </w:p>
    <w:p>
      <w:pPr>
        <w:pStyle w:val="Heading2"/>
        <ck:id v="the-takeaway"/>
      </w:pPr>
      <w:bookmarkStart w:id="5" w:name="the_takeaway"/>
      <w:r>
        <w:t>The takeaway</w:t>
      </w:r>
      <w:bookmarkEnd w:id="5"/>
    </w:p>
    <w:p>
      <w:r>
        <w:t>Three inexpensive actions close the heaviest weaknesses and threats simultaneously: (1) the cemetery framework agreement; (2) signed contractor agreements; (3) a live US-card payment test. All three are scheduled within the current week. The September pilot then converts W4, W7, and W9 into field data.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