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growth-strategy-years-25"/>
      </w:pPr>
      <w:bookmarkStart w:id="0" w:name="memorycare_growth_strategy_years_25"/>
      <w:r>
        <w:t>MemoryCare — Growth Strategy, Years 2–5</w:t>
      </w:r>
      <w:bookmarkEnd w:id="0"/>
    </w:p>
    <w:p>
      <w:r>
        <w:t>August 7, 2026 · Confidential · Basis: financial model v6.0, the council-endorsed base growth curve (+120% / +90% / +65% / +50%), serviceable market of 12–18K families. Active clients at year end: 192 → 423 → 803 → 1,326 → 1,990 (~13% penetration of the base).</w:t>
      </w:r>
    </w:p>
    <w:p>
      <w:pPr>
        <w:pStyle w:val="Heading2"/>
        <ck:id v="principle"/>
      </w:pPr>
      <w:bookmarkStart w:id="1" w:name="principle"/>
      <w:r>
        <w:t>Principle</w:t>
      </w:r>
      <w:bookmarkEnd w:id="1"/>
    </w:p>
    <w:p>
      <w:r>
        <w:t>One new growth engine per year, layered on a proven predecessor; each year opens only through an entry gate. Field crews are hired on utilization triggers (≥85%); the management layer is hired ahead of demand from Year 3 (council consensus).</w:t>
      </w:r>
    </w:p>
    <w:p>
      <w:pPr>
        <w:pStyle w:val="Heading2"/>
        <ck:id v="year-2-423-clients-revenue-amd-76m-ebitda-usd-485k-2-deep-2-light-crews"/>
      </w:pPr>
      <w:bookmarkStart w:id="2" w:name="year_2_423_clients_revenue_amd_76m_ebitd"/>
      <w:r>
        <w:t>Year 2 (~423 clients · revenue ~AMD 76M · EBITDA ≈ +USD 48.5K · 2 deep + 2 light crews)</w:t>
      </w:r>
      <w:bookmarkEnd w:id="2"/>
    </w:p>
    <w:p>
      <w:r>
        <w:rPr>
          <w:b/>
        </w:rPr>
        <w:t>Gate:</w:t>
      </w:r>
      <w:r>
        <w:t xml:space="preserve"> 150+ clients, renewals ≥85%, pilot-cohort NPS ≥8, Year-1 kill criterion not triggered. </w:t>
      </w:r>
      <w:r>
        <w:rPr>
          <w:b/>
        </w:rPr>
        <w:t>Engine — Family Circle at full power plus a partner network.</w:t>
      </w:r>
      <w:r>
        <w:t xml:space="preserve"> The referral loop (viral factor ≥0.3; sub-account-to-client conversion ≥10%) becomes the primary low-cost channel; church and AGBU partnerships move from pilot to system (target: 20% of new clients). Marketing at USD 4,000/month per the ladder. Also in Year 2: the QR digital memorial launches only on a separate owner decision (the platform is ready for it); the "pay after first report" decision is made on pilot data; the plot-size pricing question is revisited (~6 months post-launch); a second deep crew on trigger; monthly plan-versus-actual review becomes routine.</w:t>
      </w:r>
    </w:p>
    <w:p>
      <w:pPr>
        <w:pStyle w:val="Heading2"/>
        <ck:id v="year-3-803-clients-revenue-amd-145m-ebitda-usd-104k-vat-transition-3-deep-23-light-crews"/>
      </w:pPr>
      <w:bookmarkStart w:id="3" w:name="year_3_803_clients_revenue_amd_145m_ebit"/>
      <w:r>
        <w:t>Year 3 (~803 clients · revenue ~AMD 145M · EBITDA ≈ +USD 104K · VAT TRANSITION · 3 deep + 2–3 light crews)</w:t>
      </w:r>
      <w:bookmarkEnd w:id="3"/>
    </w:p>
    <w:p>
      <w:r>
        <w:rPr>
          <w:b/>
        </w:rPr>
        <w:t>Gate:</w:t>
      </w:r>
      <w:r>
        <w:t xml:space="preserve"> Yerevan profitable four consecutive quarters; procedures documented; the referral loop performing. </w:t>
      </w:r>
      <w:r>
        <w:rPr>
          <w:b/>
        </w:rPr>
        <w:t>Engine — the second city</w:t>
      </w:r>
      <w:r>
        <w:t xml:space="preserve"> (selected from platform demand data outside Yerevan; leading candidates: Gyumri, or Etchmiadzin/Ashtarak for logistics). Success test: 40+ clients and operating breakeven within six months, otherwise fold back. </w:t>
      </w:r>
      <w:r>
        <w:rPr>
          <w:b/>
        </w:rPr>
        <w:t>Critical:</w:t>
      </w:r>
      <w:r>
        <w:t xml:space="preserve"> revenue crosses the AMD 115M threshold → 20% VAT plus 18% profit tax. The pricing decision (pass-through of ~8–15% versus absorption) is taken at the end of Year 2 — a full year ahead. Ahead-of-demand hires: dispatcher and field supervisor. Also: multi-year prepaid packages (the German Dauergrabpflege pattern — 3–5 years prepaid at a discount, legally structured with client protections); B2B referral agreements with funeral agencies and monument workshops.</w:t>
      </w:r>
    </w:p>
    <w:p>
      <w:pPr>
        <w:pStyle w:val="Heading2"/>
        <ck:id v="year-4-1326-clients-revenue-amd-239m-ebitda-usd-196k-45-deep-34-light-crews"/>
      </w:pPr>
      <w:bookmarkStart w:id="4" w:name="year_4_1326_clients_revenue_amd_239m_ebi"/>
      <w:r>
        <w:t>Year 4 (~1,326 clients · revenue ~AMD 239M · EBITDA ≈ +USD 196K · 4–5 deep + 3–4 light crews)</w:t>
      </w:r>
      <w:bookmarkEnd w:id="4"/>
    </w:p>
    <w:p>
      <w:r>
        <w:rPr>
          <w:b/>
        </w:rPr>
        <w:t>Gate:</w:t>
      </w:r>
      <w:r>
        <w:t xml:space="preserve"> two profitable cities; the VAT transition absorbed without gross margin falling below 45%; renewals ≥80%. </w:t>
      </w:r>
      <w:r>
        <w:rPr>
          <w:b/>
        </w:rPr>
        <w:t>Engine — B2B and new revenue formats:</w:t>
      </w:r>
      <w:r>
        <w:t xml:space="preserve"> community contracts (care of cemetery sections under agreements with communities and foundations — dozens of plots per contract), restoration as a separately priced flagship service, seasonal gift certificates. A third city if Year-3 criteria hold.</w:t>
      </w:r>
    </w:p>
    <w:p>
      <w:pPr>
        <w:pStyle w:val="Heading2"/>
        <ck:id v="year-5-1990-clients-revenue-amd-358m-ebitda-usd-306k-6-deep-5-light-crews"/>
      </w:pPr>
      <w:bookmarkStart w:id="5" w:name="year_5_1990_clients_revenue_amd_358m_ebi"/>
      <w:r>
        <w:t>Year 5 (~1,990 clients · revenue ~AMD 358M · EBITDA ≈ +USD 306K · 6 deep + 5 light crews)</w:t>
      </w:r>
      <w:bookmarkEnd w:id="5"/>
    </w:p>
    <w:p>
      <w:r>
        <w:rPr>
          <w:b/>
        </w:rPr>
        <w:t>Gate:</w:t>
      </w:r>
      <w:r>
        <w:t xml:space="preserve"> three cities; an operations director in place (founders out of the field); stable renewals. </w:t>
      </w:r>
      <w:r>
        <w:rPr>
          <w:b/>
        </w:rPr>
        <w:t>Engine — category consolidation:</w:t>
      </w:r>
      <w:r>
        <w:t xml:space="preserve"> national coverage (4–5 cities) and the position of Armenia's standard for memorial-site care. By year end the company is an asset: ~2,000 renewing subscribers, a platform with network effects (Family Circle, and the QR memorial if launched), a recognized brand, documented operations — a clean strategic decision point for the owner: continue scaling, hold for dividends, or sell to a strategic buyer. (White-label export of the model to other diasporas is held strictly as an option against inbound interest.)</w:t>
      </w:r>
    </w:p>
    <w:p>
      <w:pPr>
        <w:pStyle w:val="Heading2"/>
        <ck:id v="standing-rules"/>
      </w:pPr>
      <w:bookmarkStart w:id="6" w:name="standing_rules"/>
      <w:r>
        <w:t>Standing rules</w:t>
      </w:r>
      <w:bookmarkEnd w:id="6"/>
    </w:p>
    <w:p>
      <w:r>
        <w:t>A missed gate defers the year; it does not cancel it. · Prices are reviewed once a year ahead of the renewal season with 60 days' client notice; the VAT-transition pricing decision is separate and scheduled at the end of Year 2. · Marketing is held at 8–12% of revenue. · Management hires ahead of demand; field hires on trigger. · This document and the model are re-based on actuals every December.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