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decision-log"/>
      </w:pPr>
      <w:bookmarkStart w:id="0" w:name="memorycare_decision_log"/>
      <w:r>
        <w:t>MemoryCare — Decision Log</w:t>
      </w:r>
      <w:bookmarkEnd w:id="0"/>
    </w:p>
    <w:p>
      <w:r>
        <w:t>Version 3.2 · August 7, 2026 · Confidential · The single source of operating truth for the documentation package. Where any document conflicts with this log, the log governs.</w:t>
      </w:r>
    </w:p>
    <w:p>
      <w:pPr>
        <w:pStyle w:val="Heading2"/>
        <ck:id v="block-a-product-and-pricing-decisions"/>
      </w:pPr>
      <w:bookmarkStart w:id="1" w:name="block_a_product_and_pricing_decisions"/>
      <w:r>
        <w:t>Block A — Product and pricing decisions</w:t>
      </w:r>
      <w:bookmarkEnd w:id="1"/>
    </w:p>
    <w:p>
      <w:r>
        <w:t xml:space="preserve">The product line comprises four flat-priced products (no plot-size surcharges, no local/diaspora price difference): </w:t>
      </w:r>
      <w:r>
        <w:rPr>
          <w:b/>
        </w:rPr>
        <w:t>Znnum (Inspection) AMD 20,000</w:t>
      </w:r>
      <w:r>
        <w:t xml:space="preserve"> — one visit, photo/video condition report, recommended-works list with prices; performed by the light crew; the fee is credited toward any package purchased within 30 days; the inspection also fixes the plot's GPS location in the client file (decided Aug 7). Znnum sits </w:t>
      </w:r>
      <w:r>
        <w:rPr>
          <w:b/>
        </w:rPr>
        <w:t>outside the subscription mix</w:t>
      </w:r>
      <w:r>
        <w:t xml:space="preserve"> — a standalone entry product whose revenue is conservatively excluded from the model. · </w:t>
      </w:r>
      <w:r>
        <w:rPr>
          <w:b/>
        </w:rPr>
        <w:t>Express AMD 60,000</w:t>
      </w:r>
      <w:r>
        <w:t xml:space="preserve"> — one deep-care visit; fully credited toward a subscription within 60 days; absent conversion, a repeat Express in the same year is AMD 40,000 (decided Aug 6). · </w:t>
      </w:r>
      <w:r>
        <w:rPr>
          <w:b/>
        </w:rPr>
        <w:t>Optimal AMD 180,000</w:t>
      </w:r>
      <w:r>
        <w:t xml:space="preserve"> — 2 deep + 4 light visits; flagship. · </w:t>
      </w:r>
      <w:r>
        <w:rPr>
          <w:b/>
        </w:rPr>
        <w:t>Maximum AMD 240,000 — re-engineered Aug 7 to 3 deep + 6 light visits (9/year)</w:t>
      </w:r>
      <w:r>
        <w:t>, lifting gross margin from 36% to ~50%; the "monthly" promise was removed. Subscription mix remains 15/55/30; blended price AMD 180,000.</w:t>
      </w:r>
    </w:p>
    <w:p>
      <w:r>
        <w:rPr>
          <w:b/>
        </w:rPr>
        <w:t>Family Circle referral reward (decided Aug 7): a memorial-date flower service with a photo report</w:t>
      </w:r>
      <w:r>
        <w:t xml:space="preserve"> (cost ≈ AMD 3–5K). The earlier "free light visit for both" was cancelled — an invited relative views the same plot, so a visit adds no value to them.</w:t>
      </w:r>
    </w:p>
    <w:p>
      <w:pPr>
        <w:pStyle w:val="Heading2"/>
        <ck:id v="block-b-brand-site-and-audience-decisions-aug-6"/>
      </w:pPr>
      <w:bookmarkStart w:id="2" w:name="block_b_brand_site_and_audience_decision"/>
      <w:r>
        <w:t>Block B — Brand, site, and audience decisions (Aug 6)</w:t>
      </w:r>
      <w:bookmarkEnd w:id="2"/>
    </w:p>
    <w:p>
      <w:r>
        <w:t xml:space="preserve">Slogan everywhere: </w:t>
      </w:r>
      <w:r>
        <w:rPr>
          <w:b/>
        </w:rPr>
        <w:t>"Honoring Memory, Caring for Loved Ones."</w:t>
      </w:r>
      <w:r>
        <w:t xml:space="preserve"> · Client-facing terminology: "family sacred place" (ընտանեկան սրբատեղի), never "grave"; the word "bestseller" is not used (replaced by "flagship"). · Site launches in </w:t>
      </w:r>
      <w:r>
        <w:rPr>
          <w:b/>
        </w:rPr>
        <w:t>three languages (ARM/ENG/RUS)</w:t>
      </w:r>
      <w:r>
        <w:t xml:space="preserve">; French added later. · Cards are described as "international." · Launch is defined as "upon website readiness." · The designer has full creative freedom, including alternative logo and palette concepts with a business case; </w:t>
      </w:r>
      <w:r>
        <w:rPr>
          <w:b/>
        </w:rPr>
        <w:t>the only fixed element is the MemoryCare name.</w:t>
      </w:r>
      <w:r>
        <w:t xml:space="preserve"> · Primary site CTA: </w:t>
      </w:r>
      <w:r>
        <w:rPr>
          <w:b/>
        </w:rPr>
        <w:t>free-consultation request</w:t>
      </w:r>
      <w:r>
        <w:t xml:space="preserve"> (an annual-ticket purchase warrants a human step); online checkout is secondary. · Site KPIs — team stretch goal: 90+ paying clients by week 16, lead-to-payment conversion ≥40%; </w:t>
      </w:r>
      <w:r>
        <w:rPr>
          <w:b/>
        </w:rPr>
        <w:t>capital planning and the kill criterion run on the conservative base: 30–50 clients, 25%.</w:t>
      </w:r>
      <w:r>
        <w:t xml:space="preserve"> · Titles: </w:t>
      </w:r>
      <w:r>
        <w:rPr>
          <w:b/>
        </w:rPr>
        <w:t>David Hambardzumyan — CEO; Hayk Manukyan — CBDO.</w:t>
      </w:r>
    </w:p>
    <w:p>
      <w:pPr>
        <w:pStyle w:val="Heading2"/>
        <ck:id v="block-c-advisory-council-resolutions-adopted-aug-6"/>
      </w:pPr>
      <w:bookmarkStart w:id="3" w:name="block_c_advisory_council_resolutions_ado"/>
      <w:r>
        <w:t>Block C — Advisory council resolutions (adopted Aug 6)</w:t>
      </w:r>
      <w:bookmarkEnd w:id="3"/>
    </w:p>
    <w:p>
      <w:r>
        <w:t xml:space="preserve">Serviceable market adopted at </w:t>
      </w:r>
      <w:r>
        <w:rPr>
          <w:b/>
        </w:rPr>
        <w:t>12–18K families base</w:t>
      </w:r>
      <w:r>
        <w:t xml:space="preserve"> (6–8K low, 25–35K high), replacing the earlier 5,000 estimate. · Growth follows the </w:t>
      </w:r>
      <w:r>
        <w:rPr>
          <w:b/>
        </w:rPr>
        <w:t>base curve only: +120/+90/+65/+50%</w:t>
      </w:r>
      <w:r>
        <w:t xml:space="preserve"> (192 → 423 → 803 → 1,326 → 1,990). · Marketing is governed by a </w:t>
      </w:r>
      <w:r>
        <w:rPr>
          <w:b/>
        </w:rPr>
        <w:t>CAC ladder</w:t>
      </w:r>
      <w:r>
        <w:t xml:space="preserve"> (AMD 146K → USD 1.5K → USD 4K → 10% of revenue; each step unlocks at blended CAC ≤ AMD 25,000). · Cemetery access is pursued as a </w:t>
      </w:r>
      <w:r>
        <w:rPr>
          <w:b/>
        </w:rPr>
        <w:t>framework agreement with the operator</w:t>
      </w:r>
      <w:r>
        <w:t xml:space="preserve">, not a letter. · Field salaries are net; the model applies a ×1.35 gross-up pending the accountant's confirmation. · </w:t>
      </w:r>
      <w:r>
        <w:rPr>
          <w:b/>
        </w:rPr>
        <w:t>Liability insurance plus an AMD 500K incident reserve precede the pilot.</w:t>
      </w:r>
      <w:r>
        <w:t xml:space="preserve"> · </w:t>
      </w:r>
      <w:r>
        <w:rPr>
          <w:b/>
        </w:rPr>
        <w:t>Kill criterion: fewer than 40 paying clients by month 4 post-launch → stop and rebuild the model, not additional funding.</w:t>
      </w:r>
      <w:r>
        <w:t xml:space="preserve"> · Platform legal pack (US/EU terms with refunds, privacy policy, sub-account consents) ships before the first payment. · The September pilot runs with the CBDO plus two formally employed technicians. · Held open, to be decided on pilot data: "pay after first report" and the Express display role.</w:t>
      </w:r>
    </w:p>
    <w:p>
      <w:pPr>
        <w:pStyle w:val="Heading2"/>
        <ck:id v="block-d-governance-and-finance"/>
      </w:pPr>
      <w:bookmarkStart w:id="4" w:name="block_d_governance_and_finance"/>
      <w:r>
        <w:t>Block D — Governance and finance</w:t>
      </w:r>
      <w:bookmarkEnd w:id="4"/>
    </w:p>
    <w:p>
      <w:r>
        <w:t>Ownership: 100% David Hambardzumyan (CEO), funding in tranches as required. Operations: Hayk Manukyan (CBDO). · One-time launch costs (all one-off payments): design AMD 1.0M; platform AMD 1.2M; content production/SMM/integrations AMD 500K spread over months 1–3. · Monthly overhead ≈ AMD 500K including legal retainer, accountant, admin/CRM, software, and insurance. · Taxes: 10% turnover regime assumed for Years 1–2 (legal memorandum pending); the VAT-regime transition is modeled from Year 3, with the pricing decision scheduled a year ahead. · Model v6.0 outputs (base case): revenue AMD 34.6M → 358.2M; EBITDA −AMD 1.7M (Year 1) → +USD 306K (Year 5); peak funding ≈ AMD 5.0M (~USD 13.8K) with 28% contingency and the incident reserve.</w:t>
      </w:r>
    </w:p>
    <w:p>
      <w:pPr>
        <w:pStyle w:val="Heading2"/>
        <ck:id v="execution-calendar-current-week"/>
      </w:pPr>
      <w:bookmarkStart w:id="5" w:name="execution_calendar_current_week"/>
      <w:r>
        <w:t>Execution calendar (current week)</w:t>
      </w:r>
      <w:bookmarkEnd w:id="5"/>
    </w:p>
    <w:p>
      <w:r>
        <w:t>Ameriabank onboarding (CEO) · contractor agreements signed; recruitment ads live; site contact details replaced (CBDO) · tax memorandum delivered and first cemetery-operator contact made (Legal) · accountant onboarded; cemetery negotiation status reported (by Aug 20).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