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advisory-council-report-synthesis"/>
      </w:pPr>
      <w:bookmarkStart w:id="0" w:name="memorycare_advisory_council_report_synth"/>
      <w:r>
        <w:t>MemoryCare — Advisory Council Report (Synthesis)</w:t>
      </w:r>
      <w:bookmarkEnd w:id="0"/>
    </w:p>
    <w:p>
      <w:r>
        <w:t>August 6, 2026 · Confidential · An independent six-expert review — contrarian investor, CFO, legal counsel (Armenia), COO, diaspora-marketing CMO, and customer voice — each working separately from the full document set, synthesized by a chairman. Resolutions adopted from this report are recorded in the Decision Log (Document 07).</w:t>
      </w:r>
    </w:p>
    <w:p>
      <w:pPr>
        <w:pStyle w:val="Heading2"/>
        <ck:id v="1-overall-verdict-unanimous"/>
      </w:pPr>
      <w:bookmarkStart w:id="1" w:name="_1_overall_verdict_unanimous"/>
      <w:r>
        <w:t>1. Overall verdict (unanimous)</w:t>
      </w:r>
      <w:bookmarkEnd w:id="1"/>
    </w:p>
    <w:p>
      <w:r>
        <w:t>The business is real and the pain is genuine: 12% of surveyed families report no one cares for the family plot, 18% do not know its current condition, and none of those who tried informal solutions were fully satisfied. Core unit economics are healthy — the CFO independently re-derived a deep-visit unit cost of ≈ AMD 24K on the three-person crew and confirmed tier margins — and the flagship's price sits squarely inside measured willingness to pay (USD 50–100 per visit). Family Circle sub-accounts at launch are a world-class differentiator: no analogue studied offers them. The council found no fatal defects; everything it flagged is fixable within two to four weeks of disciplined work. Its sharpest warnings: the most probable failure mode is not a cemetery refusal but slow cold-market sales against a monthly burn once crews are hired, so the trust barrier ("prepay strangers a year in advance") must be attacked deliberately; contractor IP must be secured by signed agreements; and a foreign-card payment must be proven live before launch. All three are now scheduled actions.</w:t>
      </w:r>
    </w:p>
    <w:p>
      <w:pPr>
        <w:pStyle w:val="Heading2"/>
        <ck:id v="2-market-size-adopted"/>
      </w:pPr>
      <w:bookmarkStart w:id="2" w:name="_2_market_size_adopted"/>
      <w:r>
        <w:t>2. Market size (adopted)</w:t>
      </w:r>
      <w:bookmarkEnd w:id="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/>
        </w:tc>
        <w:tc>
          <w:tcPr/>
          <w:p>
            <w:r>
              <w:rPr>
                <w:b/>
              </w:rPr>
              <w:t>Low</w:t>
            </w:r>
          </w:p>
        </w:tc>
        <w:tc>
          <w:tcPr/>
          <w:p>
            <w:r>
              <w:rPr>
                <w:b/>
              </w:rPr>
              <w:t>Base</w:t>
            </w:r>
          </w:p>
        </w:tc>
        <w:tc>
          <w:tcPr/>
          <w:p>
            <w:r>
              <w:rPr>
                <w:b/>
              </w:rPr>
              <w:t>High</w:t>
            </w:r>
          </w:p>
        </w:tc>
      </w:tr>
      <w:tr>
        <w:tc>
          <w:tcPr/>
          <w:p>
            <w:r>
              <w:t>Serviceable families</w:t>
            </w:r>
          </w:p>
        </w:tc>
        <w:tc>
          <w:tcPr/>
          <w:p>
            <w:r>
              <w:t>~6–8K</w:t>
            </w:r>
          </w:p>
        </w:tc>
        <w:tc>
          <w:tcPr/>
          <w:p>
            <w:r>
              <w:rPr>
                <w:b/>
              </w:rPr>
              <w:t>~12–18K</w:t>
            </w:r>
          </w:p>
        </w:tc>
        <w:tc>
          <w:tcPr/>
          <w:p>
            <w:r>
              <w:t>~25–35K</w:t>
            </w:r>
          </w:p>
        </w:tc>
      </w:tr>
    </w:tbl>
    <w:p>
      <w:r>
        <w:t>Bottom-up methodology: post-Soviet emigration from Armenia (~300–600K households) → the share with graves in Yerevan → filters for acute need, ability to pay, and channel reachability, yielding 4–10K reachable diaspora families, plus 2–5K affluent Yerevan households. Cross-checked by flow: ~8–9K new burials in Yerevan annually. The Year-5 plan of ~2,000 clients equals ~13% penetration of the base — ambitious, within category norms.</w:t>
      </w:r>
    </w:p>
    <w:p>
      <w:pPr>
        <w:pStyle w:val="Heading2"/>
        <ck:id v="3-growth-trajectory-adopted"/>
      </w:pPr>
      <w:bookmarkStart w:id="3" w:name="_3_growth_trajectory_adopted"/>
      <w:r>
        <w:t>3. Growth trajectory (adopted)</w:t>
      </w:r>
      <w:bookmarkEnd w:id="3"/>
    </w:p>
    <w:p>
      <w:r>
        <w:t xml:space="preserve">The council rejected an aggressive tripling curve as a planning basis and recommended the base trajectory now in the model — </w:t>
      </w:r>
      <w:r>
        <w:rPr>
          <w:b/>
        </w:rPr>
        <w:t>+120/+90/+65/+50%</w:t>
      </w:r>
      <w:r>
        <w:t>, reaching ~2,000 clients by Year 5 — with any acceleration gated on proven CAC ≤ AMD 25,000, retention ≥85% on the first hundred clients, and a working referral loop. Marketing must be budgeted by CAC ladder rather than a flat figure (a flat USD 400/month would buy roughly a third of the Year-1 plan).</w:t>
      </w:r>
    </w:p>
    <w:p>
      <w:pPr>
        <w:pStyle w:val="Heading2"/>
        <ck:id v="4-principal-recommendations-all-adopted-unless-noted"/>
      </w:pPr>
      <w:bookmarkStart w:id="4" w:name="_4_principal_recommendations_all_adopted"/>
      <w:r>
        <w:t>4. Principal recommendations (all adopted unless noted)</w:t>
      </w:r>
      <w:bookmarkEnd w:id="4"/>
    </w:p>
    <w:p>
      <w:pPr>
        <w:pStyle w:val="ListParagraph"/>
        <w:numPr>
          <w:ilvl w:val="0"/>
          <w:numId w:val="1"/>
        </w:numPr>
      </w:pPr>
      <w:r>
        <w:t xml:space="preserve">Pursue a </w:t>
      </w:r>
      <w:r>
        <w:rPr>
          <w:b/>
        </w:rPr>
        <w:t>framework agreement with the cemetery operator</w:t>
      </w:r>
      <w:r>
        <w:t xml:space="preserve"> — an agreement cannot be revoked the way a letter can — and have it cover vehicles, water, waste, filming, and caretaker relations, since these determine field productivity.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Sign contractor agreements within 72 hours</w:t>
      </w:r>
      <w:r>
        <w:t>, with IP transferring on milestone payments and source files as an acceptance condition.</w:t>
      </w:r>
    </w:p>
    <w:p>
      <w:pPr>
        <w:pStyle w:val="ListParagraph"/>
        <w:numPr>
          <w:ilvl w:val="0"/>
          <w:numId w:val="1"/>
        </w:numPr>
      </w:pPr>
      <w:r>
        <w:t xml:space="preserve">Build the </w:t>
      </w:r>
      <w:r>
        <w:rPr>
          <w:b/>
        </w:rPr>
        <w:t>first-payment trust layer</w:t>
      </w:r>
      <w:r>
        <w:t>: live foreign-card testing before launch; the council's "pay after your first report" mechanism is held as a decision for pilot data.</w:t>
      </w:r>
    </w:p>
    <w:p>
      <w:pPr>
        <w:pStyle w:val="ListParagraph"/>
        <w:numPr>
          <w:ilvl w:val="0"/>
          <w:numId w:val="1"/>
        </w:numPr>
      </w:pPr>
      <w:r>
        <w:t xml:space="preserve">Ship the </w:t>
      </w:r>
      <w:r>
        <w:rPr>
          <w:b/>
        </w:rPr>
        <w:t>platform legal pack</w:t>
      </w:r>
      <w:r>
        <w:t xml:space="preserve"> (US/EU-ready terms with refund rights, privacy policy, sub-account consents, filming rules that keep third-party graves and visitors out of frame) before the first payment.</w:t>
      </w:r>
    </w:p>
    <w:p>
      <w:pPr>
        <w:pStyle w:val="ListParagraph"/>
        <w:numPr>
          <w:ilvl w:val="0"/>
          <w:numId w:val="1"/>
        </w:numPr>
      </w:pPr>
      <w:r>
        <w:t xml:space="preserve">Model the </w:t>
      </w:r>
      <w:r>
        <w:rPr>
          <w:b/>
        </w:rPr>
        <w:t>VAT transition</w:t>
      </w:r>
      <w:r>
        <w:t xml:space="preserve"> explicitly (now done — Year 3), with the pricing decision a year ahead; adopt deferred-revenue accounting and a refund reserve with the incoming accountant.</w:t>
      </w:r>
    </w:p>
    <w:p>
      <w:pPr>
        <w:pStyle w:val="ListParagraph"/>
        <w:numPr>
          <w:ilvl w:val="0"/>
          <w:numId w:val="1"/>
        </w:numPr>
      </w:pPr>
      <w:r>
        <w:t xml:space="preserve">Replace flat marketing with the </w:t>
      </w:r>
      <w:r>
        <w:rPr>
          <w:b/>
        </w:rPr>
        <w:t>CAC ladder</w:t>
      </w:r>
      <w:r>
        <w:t xml:space="preserve"> (adopted as above).</w:t>
      </w:r>
    </w:p>
    <w:p>
      <w:pPr>
        <w:pStyle w:val="ListParagraph"/>
        <w:numPr>
          <w:ilvl w:val="0"/>
          <w:numId w:val="1"/>
        </w:numPr>
      </w:pPr>
      <w:r>
        <w:t xml:space="preserve">Protect capital with </w:t>
      </w:r>
      <w:r>
        <w:rPr>
          <w:b/>
        </w:rPr>
        <w:t>trande-based funding and a pre-agreed kill criterion</w:t>
      </w:r>
      <w:r>
        <w:t xml:space="preserve"> — fewer than 40 paying clients by month 4 post-launch triggers a rebuild, not a top-up (adopted).</w:t>
      </w:r>
    </w:p>
    <w:p>
      <w:pPr>
        <w:pStyle w:val="ListParagraph"/>
        <w:numPr>
          <w:ilvl w:val="0"/>
          <w:numId w:val="1"/>
        </w:numPr>
      </w:pPr>
      <w:r>
        <w:t xml:space="preserve">Enforce quality through an </w:t>
      </w:r>
      <w:r>
        <w:rPr>
          <w:b/>
        </w:rPr>
        <w:t>app-enforced visit protocol</w:t>
      </w:r>
      <w:r>
        <w:t xml:space="preserve"> (GPS plus four fixed before/after angles required to close a visit), 100% report review for the first three months, liability insurance, and an AMD 500K incident reserve before the pilot (adopted; see Document 15).</w:t>
      </w:r>
    </w:p>
    <w:p>
      <w:pPr>
        <w:pStyle w:val="ListParagraph"/>
        <w:numPr>
          <w:ilvl w:val="0"/>
          <w:numId w:val="1"/>
        </w:numPr>
      </w:pPr>
      <w:r>
        <w:t xml:space="preserve">Keep the September pilot </w:t>
      </w:r>
      <w:r>
        <w:rPr>
          <w:b/>
        </w:rPr>
        <w:t>lean</w:t>
      </w:r>
      <w:r>
        <w:t xml:space="preserve"> — the CBDO plus two formally employed technicians — and hire the full crew against real demand (adopted).</w:t>
      </w:r>
    </w:p>
    <w:p>
      <w:pPr>
        <w:pStyle w:val="ListParagraph"/>
        <w:numPr>
          <w:ilvl w:val="0"/>
          <w:numId w:val="1"/>
        </w:numPr>
      </w:pPr>
      <w:r>
        <w:t>Fix the entry-price gap at the bottom of the ladder (subsequently resolved by the owner beyond the council's proposal: the Znnum inspection product at AMD 20,000, credited toward packages, plus Express credit mechanics).</w:t>
      </w:r>
    </w:p>
    <w:p>
      <w:pPr>
        <w:pStyle w:val="Heading2"/>
        <ck:id v="5-red-flags-the-council-required-closed-before-launch"/>
      </w:pPr>
      <w:bookmarkStart w:id="5" w:name="_5_red_flags_the_council_required_closed"/>
      <w:r>
        <w:t>5. Red flags the council required closed before launch</w:t>
      </w:r>
      <w:bookmarkEnd w:id="5"/>
    </w:p>
    <w:p>
      <w:r>
        <w:t>Spending ahead of documented cemetery access · platform code being written without signed IP assignment · zero live foreign-card payments tested · zero paid clients as validation (survey-level only) · missing terms/privacy/consents · no field redundancy (single vehicle, no bench) · employment-law exposure if technicians work unregistered "test days" · the US-market naming collision ("memory care" = dementia care) requiring category descriptors and negative keywords in advertising.</w:t>
      </w:r>
    </w:p>
    <w:p>
      <w:pPr>
        <w:pStyle w:val="Heading2"/>
        <ck:id v="6-where-the-experts-disagreed"/>
      </w:pPr>
      <w:bookmarkStart w:id="6" w:name="_6_where_the_experts_disagreed"/>
      <w:r>
        <w:t>6. Where the experts disagreed</w:t>
      </w:r>
      <w:bookmarkEnd w:id="6"/>
    </w:p>
    <w:p>
      <w:r>
        <w:t>Market size: the contrarian investor argued for the low band (~6–8K) on strict "satisfied with free family care" filtering; the CFO and CMO carried the consensus base of 12–18K. · Growth: most saw a tripling Year 2 as achievable with funded marketing; the contrarian held that unproven cold conversion warranted the base curve — the council resolved this with gates, and the owner subsequently adopted the base curve outright. · Express economics: views ranged from removing it from the storefront to trial-credit mechanics; the adopted resolution is trial credit, with the display role to be reviewed on pilot data. · Hiring: trigger-based field hiring was endorsed unanimously, with the COO's caveat — adopted — that the management layer must be hired ahead of demand from Year 3.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