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ask-list-hayk-manukyan-cbdo-operations-lead"/>
      </w:pPr>
      <w:bookmarkStart w:id="0" w:name="task_list_hayk_manukyan_cbdo_operations_"/>
      <w:r>
        <w:t>Task List — Hayk Manukyan, CBDO (Operations Lead)</w:t>
      </w:r>
      <w:bookmarkEnd w:id="0"/>
    </w:p>
    <w:p>
      <w:r>
        <w:t>August 7, 2026 · Sorted by priority. Format: task → deadline → done-criterion.</w:t>
      </w:r>
    </w:p>
    <w:p>
      <w:pPr>
        <w:pStyle w:val="Heading2"/>
        <ck:id v="critical-launch-blocking"/>
      </w:pPr>
      <w:bookmarkStart w:id="1" w:name="critical_launch_blocking"/>
      <w:r>
        <w:t>Critical (launch-blocking)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Cemetery agreement oversight.</w:t>
      </w:r>
      <w:r>
        <w:t xml:space="preserve"> First operator contact ≤ Aug 13; status report Aug 20. Done: framework agreement or the operator's written position (executed by counsel; CBDO escalates — including an in-person visit — if unanswered).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Contractor signatures.</w:t>
      </w:r>
      <w:r>
        <w:t xml:space="preserve"> By Aug 8. Done: designer and developer agreements signed; IP transfers on milestone payments; source files an acceptance condition.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Real site contacts.</w:t>
      </w:r>
      <w:r>
        <w:t xml:space="preserve"> This week. Done: working phone number and info@memorycare.am replacing placeholders.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Accountant hire.</w:t>
      </w:r>
      <w:r>
        <w:t xml:space="preserve"> By Aug 20. Done: accountant onboarded with the task list (Document 12); until then, primary documents archived with counsel.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Foreign-card payment test</w:t>
      </w:r>
      <w:r>
        <w:t xml:space="preserve"> (with the CEO and developers). As soon as the bank enables acquiring. Done: a US/EU card payment completes end to end.</w:t>
      </w:r>
    </w:p>
    <w:p>
      <w:pPr>
        <w:pStyle w:val="Heading2"/>
        <ck:id v="high-priority"/>
      </w:pPr>
      <w:bookmarkStart w:id="2" w:name="high_priority"/>
      <w:r>
        <w:t>High priority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</w:rPr>
        <w:t>Hire two pilot technicians</w:t>
      </w:r>
      <w:r>
        <w:t xml:space="preserve"> per the recruitment materials (Document 16). By end of August. Done: two candidates selected; formal employment prepared (start follows the cemetery resolution).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Protocol training</w:t>
      </w:r>
      <w:r>
        <w:t xml:space="preserve"> (Document 15) plus two rehearsal visits. Done: rehearsal reports pass review without corrections.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September paid pilot:</w:t>
      </w:r>
      <w:r>
        <w:t xml:space="preserve"> 5–10 full-price visits, crew of CBDO + two technicians, 1–2 diaspora clients. Done: 3+ publishable cases, 2+ testimonials, 1+ diaspora; actual visit times and consumables logged.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Freelancer price collection</w:t>
      </w:r>
      <w:r>
        <w:t xml:space="preserve"> (5–10 quotes, as a customer). Before the pilot. Done: anchor table for marketing.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Pilot debrief with the CEO:</w:t>
      </w:r>
      <w:r>
        <w:t xml:space="preserve"> field unit costs versus model, Maximum-tier margin, decisions on "pay after first report" and the Express display role.</w:t>
      </w:r>
    </w:p>
    <w:p>
      <w:pPr>
        <w:pStyle w:val="Heading2"/>
        <ck:id v="medium-priority"/>
      </w:pPr>
      <w:bookmarkStart w:id="3" w:name="medium_priority"/>
      <w:r>
        <w:t>Medium priority</w:t>
      </w:r>
      <w:bookmarkEnd w:id="3"/>
    </w:p>
    <w:p>
      <w:pPr>
        <w:pStyle w:val="ListParagraph"/>
        <w:numPr>
          <w:ilvl w:val="0"/>
          <w:numId w:val="3"/>
        </w:numPr>
      </w:pPr>
      <w:r>
        <w:t>Organic seeding across diaspora communities post-pilot (ready lists and posts; 3–4 communities/day, language-matched).</w:t>
      </w:r>
    </w:p>
    <w:p>
      <w:pPr>
        <w:pStyle w:val="ListParagraph"/>
        <w:numPr>
          <w:ilvl w:val="0"/>
          <w:numId w:val="3"/>
        </w:numPr>
      </w:pPr>
      <w:r>
        <w:t>Partnership outreach: five letters (churches in LA/Marseille/Moscow, AGBU network, diaspora media) → one confirmed partnership.</w:t>
      </w:r>
    </w:p>
    <w:p>
      <w:pPr>
        <w:pStyle w:val="ListParagraph"/>
        <w:numPr>
          <w:ilvl w:val="0"/>
          <w:numId w:val="3"/>
        </w:numPr>
      </w:pPr>
      <w:r>
        <w:t>Weekly Monday numbers review from soft launch onward (sales, CAC by channel, crew utilization, report quality).</w:t>
      </w:r>
    </w:p>
    <w:p>
      <w:pPr>
        <w:pStyle w:val="ListParagraph"/>
        <w:numPr>
          <w:ilvl w:val="0"/>
          <w:numId w:val="3"/>
        </w:numPr>
      </w:pPr>
      <w:r>
        <w:t>Seasonal calendar execution (Merelots, Easter, Vardavar, April 24, New Year) — preparation three weeks ahead of each date.</w:t>
      </w:r>
    </w:p>
    <w:p>
      <w:pPr>
        <w:pStyle w:val="ListParagraph"/>
        <w:numPr>
          <w:ilvl w:val="0"/>
          <w:numId w:val="3"/>
        </w:numPr>
      </w:pPr>
      <w:r>
        <w:t>Kill-criterion monitoring: fewer than 40 paying clients by month 4 post-launch → convene the rebuild review with the CEO.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6"/>
    </w:lvlOverride>
  </w:num>
  <w:num w:numId="3">
    <w:abstractNumId w:val="2"/>
    <w:lvlOverride w:ilvl="0">
      <w:startOverride w:val="1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