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task-list-david-hambardzumyan-ceo-owner"/>
      </w:pPr>
      <w:bookmarkStart w:id="0" w:name="task_list_david_hambardzumyan_ceo_owner"/>
      <w:r>
        <w:t>Task List — David Hambardzumyan, CEO (Owner)</w:t>
      </w:r>
      <w:bookmarkEnd w:id="0"/>
    </w:p>
    <w:p>
      <w:r>
        <w:t>August 7, 2026 · Sorted by priority.</w:t>
      </w:r>
    </w:p>
    <w:p>
      <w:pPr>
        <w:pStyle w:val="Heading2"/>
        <ck:id v="critical"/>
      </w:pPr>
      <w:bookmarkStart w:id="1" w:name="critical"/>
      <w:r>
        <w:t>Critical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Ameriabank.</w:t>
      </w:r>
      <w:r>
        <w:t xml:space="preserve"> Corporate account plus internet-acquiring application. Cover explicitly: acceptance of foreign Visa/MC (US/EU/RU), foreign-card fees, chargeback procedure and statistics, onboarding timeline, merchant requirements, 3-D Secure, Apple Pay/Google Pay. Done: account open, acquiring application filed, timeline known.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First funding tranche as required.</w:t>
      </w:r>
      <w:r>
        <w:t xml:space="preserve"> Model v6.0 peak requirement ≈ AMD 5.0M with reserves; near-term outflows: contractor milestones (AMD 2.2M), content production AMD 500K (months 1–3), insurance and the AMD 500K incident reserve. Done: tranche schedule agreed with the CBDO against the payment calendar.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Countersign contractor agreements.</w:t>
      </w:r>
      <w:r>
        <w:t xml:space="preserve"> By Aug 8.</w:t>
      </w:r>
    </w:p>
    <w:p>
      <w:pPr>
        <w:pStyle w:val="Heading2"/>
        <ck:id v="high-priority"/>
      </w:pPr>
      <w:bookmarkStart w:id="2" w:name="high_priority"/>
      <w:r>
        <w:t>High priority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</w:rPr>
        <w:t>Vehicle lease agreement</w:t>
      </w:r>
      <w:r>
        <w:t xml:space="preserve"> (personal vehicle → company) at a market rate, per counsel's draft; decide purchase timing against the pilot date.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Software subscription transfer</w:t>
      </w:r>
      <w:r>
        <w:t xml:space="preserve"> from the personal card to the company account once banking is live; provide payment history to the accountant for reimbursement processing.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Kill criterion</w:t>
      </w:r>
      <w:r>
        <w:t xml:space="preserve"> (adopted): confirm shared understanding — fewer than 40 paying clients by month 4 post-launch means stop and rebuild together, not automatic top-up funding.</w:t>
      </w:r>
    </w:p>
    <w:p>
      <w:pPr>
        <w:pStyle w:val="Heading2"/>
        <ck:id v="medium-priority"/>
      </w:pPr>
      <w:bookmarkStart w:id="3" w:name="medium_priority"/>
      <w:r>
        <w:t>Medium priority</w:t>
      </w:r>
      <w:bookmarkEnd w:id="3"/>
    </w:p>
    <w:p>
      <w:pPr>
        <w:pStyle w:val="ListParagraph"/>
        <w:numPr>
          <w:ilvl w:val="0"/>
          <w:numId w:val="3"/>
        </w:numPr>
      </w:pPr>
      <w:r>
        <w:t>Join the pilot debrief (late September): field unit costs, Maximum-tier margin, "pay after first report," Express display role.</w:t>
      </w:r>
    </w:p>
    <w:p>
      <w:pPr>
        <w:pStyle w:val="ListParagraph"/>
        <w:numPr>
          <w:ilvl w:val="0"/>
          <w:numId w:val="3"/>
        </w:numPr>
      </w:pPr>
      <w:r>
        <w:t>Year-2 decision on launching the QR digital memorial (separate, owner-level decision).</w:t>
      </w:r>
    </w:p>
    <w:p>
      <w:pPr>
        <w:pStyle w:val="ListParagraph"/>
        <w:numPr>
          <w:ilvl w:val="0"/>
          <w:numId w:val="3"/>
        </w:numPr>
      </w:pPr>
      <w:r>
        <w:t>End of Year 2: the VAT-transition pricing decision for Year 3 (pass-through of ~8–15% versus absorption).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4"/>
    </w:lvlOverride>
  </w:num>
  <w:num w:numId="3">
    <w:abstractNumId w:val="2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