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task-list-legal-counsel"/>
      </w:pPr>
      <w:bookmarkStart w:id="0" w:name="task_list_legal_counsel"/>
      <w:r>
        <w:t>Task List — Legal Counsel</w:t>
      </w:r>
      <w:bookmarkEnd w:id="0"/>
    </w:p>
    <w:p>
      <w:r>
        <w:t>August 7, 2026 · Sorted by priority.</w:t>
      </w:r>
    </w:p>
    <w:p>
      <w:pPr>
        <w:pStyle w:val="Heading2"/>
        <ck:id v="critical"/>
      </w:pPr>
      <w:bookmarkStart w:id="1" w:name="critical"/>
      <w:r>
        <w:t>Critical</w:t>
      </w:r>
      <w:bookmarkEnd w:id="1"/>
    </w:p>
    <w:p>
      <w:pPr>
        <w:pStyle w:val="ListParagraph"/>
        <w:numPr>
          <w:ilvl w:val="0"/>
          <w:numId w:val="1"/>
        </w:numPr>
      </w:pPr>
      <w:r>
        <w:rPr>
          <w:b/>
        </w:rPr>
        <w:t>Cemetery operator — framework agreement</w:t>
      </w:r>
      <w:r>
        <w:t xml:space="preserve"> (adopted: target an agreement, not a letter). First contact ≤ Aug 13; status report Aug 20. Must address: (a) the right of a commercial crew to work on a family's instruction; (b) any operator exclusivity or concession; (c) vehicle entry and parking; (d) water access; (e) waste removal; (f) photo/video filming; (g) status relative to caretakers and informal workers. If unanswered beyond two weeks — an in-person visit with the founders.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Contractor agreements to signature by Aug 8.</w:t>
      </w:r>
      <w:r>
        <w:t xml:space="preserve"> Required terms: milestones and acceptance procedure; exclusive rights to code/designs/source files transferring with each milestone payment (not only on full payment); repository and design-file handover as an acceptance condition; retroactive coverage of work already performed; staged payments; a pause option pending the cemetery resolution.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Tax memorandum by Aug 13</w:t>
      </w:r>
      <w:r>
        <w:t xml:space="preserve"> (one page, written): applicability of the 10% turnover regime; the AMD 115M VAT threshold and transition mechanics; fiscal-receipt requirements for online card payments from abroad; a preliminary position on revenue recognition for annual prepayments (cash versus deferred) pending the accountant.</w:t>
      </w:r>
    </w:p>
    <w:p>
      <w:pPr>
        <w:pStyle w:val="Heading2"/>
        <ck:id v="high-priority"/>
      </w:pPr>
      <w:bookmarkStart w:id="2" w:name="high_priority"/>
      <w:r>
        <w:t>High priority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</w:rPr>
        <w:t>Liability insurance before the pilot</w:t>
      </w:r>
      <w:r>
        <w:t xml:space="preserve"> (damage to property and adjacent graves during works); document the AMD 500K incident reserve by owner resolution.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Platform legal pack before the first payment:</w:t>
      </w:r>
      <w:r>
        <w:t xml:space="preserve"> public terms of service for US/EU clients (pro-rata refunds, 14-day withdrawal, renewal only with explicit consent, governing law); privacy policy in English; Family Circle sub-account consents (accepted at first login); filming rules — third-party graves and visitors never in frame; blurring in marketing materials.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Vehicle lease agreement</w:t>
      </w:r>
      <w:r>
        <w:t xml:space="preserve"> (owner's personal vehicle → company) at a documented market rate (related-party).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Employment templates for field staff</w:t>
      </w:r>
      <w:r>
        <w:t xml:space="preserve"> before hiring; formal registration precedes any field day, including paid trial days; salaries documented as net with payroll computed by the accountant.</w:t>
      </w:r>
    </w:p>
    <w:p>
      <w:pPr>
        <w:pStyle w:val="Heading2"/>
        <ck:id v="medium-priority"/>
      </w:pPr>
      <w:bookmarkStart w:id="3" w:name="medium_priority"/>
      <w:r>
        <w:t>Medium priority</w:t>
      </w:r>
      <w:bookmarkEnd w:id="3"/>
    </w:p>
    <w:p>
      <w:pPr>
        <w:pStyle w:val="ListParagraph"/>
        <w:numPr>
          <w:ilvl w:val="0"/>
          <w:numId w:val="3"/>
        </w:numPr>
      </w:pPr>
      <w:r>
        <w:t>Primary-document archive for all company spending until the accountant starts (Aug 20), then handover.</w:t>
      </w:r>
    </w:p>
    <w:p>
      <w:pPr>
        <w:pStyle w:val="ListParagraph"/>
        <w:numPr>
          <w:ilvl w:val="0"/>
          <w:numId w:val="3"/>
        </w:numPr>
      </w:pPr>
      <w:r>
        <w:t>A short written client agreement for the pilot (5–10 full-price visits).</w:t>
      </w:r>
    </w:p>
    <w:p>
      <w:pPr>
        <w:pStyle w:val="ListParagraph"/>
        <w:numPr>
          <w:ilvl w:val="0"/>
          <w:numId w:val="3"/>
        </w:numPr>
      </w:pPr>
      <w:r>
        <w:t>Trademark advice: registrability of MemoryCare and the slogan in Armenia; report by month end.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4"/>
    </w:lvlOverride>
  </w:num>
  <w:num w:numId="3">
    <w:abstractNumId w:val="2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