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task-list-accountant-on-joining-hiring-deadline-aug-20"/>
      </w:pPr>
      <w:bookmarkStart w:id="0" w:name="task_list_accountant_on_joining_hiring_d"/>
      <w:r>
        <w:t>Task List — Accountant (on joining; hiring deadline Aug 20)</w:t>
      </w:r>
      <w:bookmarkEnd w:id="0"/>
    </w:p>
    <w:p>
      <w:r>
        <w:t>August 7, 2026 · Sorted by priority.</w:t>
      </w:r>
    </w:p>
    <w:p>
      <w:pPr>
        <w:pStyle w:val="Heading2"/>
        <ck:id v="critical-first-week"/>
      </w:pPr>
      <w:bookmarkStart w:id="1" w:name="critical_first_week"/>
      <w:r>
        <w:t>Critical (first week)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b/>
        </w:rPr>
        <w:t>Revenue recognition policy</w:t>
      </w:r>
      <w:r>
        <w:t xml:space="preserve"> for annual prepayments (cash versus deferred) — the central methodological question: clients pay twelve months ahead while visits are delivered across the year. Deliver a written accounting policy aligned with the tax regime and the owner's reporting needs.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Confirm the payroll gross-up.</w:t>
      </w:r>
      <w:r>
        <w:t xml:space="preserve"> The model carries all field salaries as net (driver-technician AMD 400K; technicians AMD 300K; light-crew AMD 450K) with a ×1.35 loading. Compute the exact fully loaded cost (income tax, social payments, other charges) and return the figure for the model update.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Take over the primary-document archive</w:t>
      </w:r>
      <w:r>
        <w:t xml:space="preserve"> from counsel (all spending to date: contractors, services) and open the books.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Software subscription (USD 120/month, currently on the owner's personal card):</w:t>
      </w:r>
      <w:r>
        <w:t xml:space="preserve"> process reimbursement as a company expense retroactively and migrate billing to the corporate account once banking is live.</w:t>
      </w:r>
    </w:p>
    <w:p>
      <w:pPr>
        <w:pStyle w:val="Heading2"/>
        <ck:id v="high-priority"/>
      </w:pPr>
      <w:bookmarkStart w:id="2" w:name="high_priority"/>
      <w:r>
        <w:t>High priority</w:t>
      </w:r>
      <w:bookmarkEnd w:id="2"/>
    </w:p>
    <w:p>
      <w:pPr>
        <w:pStyle w:val="ListParagraph"/>
        <w:numPr>
          <w:ilvl w:val="0"/>
          <w:numId w:val="2"/>
        </w:numPr>
      </w:pPr>
      <w:r>
        <w:t>With counsel: the tax regime — applicability of the 10% turnover regime, the AMD 115M VAT threshold, the modeled Year-3 transition, and fiscal-receipt requirements for online acquiring.</w:t>
      </w:r>
    </w:p>
    <w:p>
      <w:pPr>
        <w:pStyle w:val="ListParagraph"/>
        <w:numPr>
          <w:ilvl w:val="0"/>
          <w:numId w:val="2"/>
        </w:numPr>
      </w:pPr>
      <w:r>
        <w:t>Monthly management reporting mapped to financial model v6.0 (plan versus actual): revenue, gross payroll, buffers, marketing, overhead, one-time items.</w:t>
      </w:r>
    </w:p>
    <w:p>
      <w:pPr>
        <w:pStyle w:val="ListParagraph"/>
        <w:numPr>
          <w:ilvl w:val="0"/>
          <w:numId w:val="2"/>
        </w:numPr>
      </w:pPr>
      <w:r>
        <w:t>Reserves methodology: 3% of revenue for refunds; the AMD 500K incident reserve.</w:t>
      </w:r>
    </w:p>
    <w:p>
      <w:pPr>
        <w:pStyle w:val="ListParagraph"/>
        <w:numPr>
          <w:ilvl w:val="0"/>
          <w:numId w:val="2"/>
        </w:numPr>
      </w:pPr>
      <w:r>
        <w:t>Payroll operations before the first field day: employee registration, payment schedule, statements.</w:t>
      </w:r>
    </w:p>
    <w:p>
      <w:pPr>
        <w:pStyle w:val="Heading2"/>
        <ck:id v="medium-priority"/>
      </w:pPr>
      <w:bookmarkStart w:id="3" w:name="medium_priority"/>
      <w:r>
        <w:t>Medium priority</w:t>
      </w:r>
      <w:bookmarkEnd w:id="3"/>
    </w:p>
    <w:p>
      <w:pPr>
        <w:pStyle w:val="ListParagraph"/>
        <w:numPr>
          <w:ilvl w:val="0"/>
          <w:numId w:val="3"/>
        </w:numPr>
      </w:pPr>
      <w:r>
        <w:t>Foreign-currency settlement accounting (USD/EUR card receipts converting to AMD; acquiring fees).</w:t>
      </w:r>
    </w:p>
    <w:p>
      <w:pPr>
        <w:pStyle w:val="ListParagraph"/>
        <w:numPr>
          <w:ilvl w:val="0"/>
          <w:numId w:val="3"/>
        </w:numPr>
      </w:pPr>
      <w:r>
        <w:t>A monthly owner report: P&amp;L, cash position, prepayment liabilities, tax calendar.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5"/>
    </w:lvlOverride>
  </w:num>
  <w:num w:numId="3">
    <w:abstractNumId w:val="2"/>
    <w:lvlOverride w:ilvl="0">
      <w:startOverride w:val="9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