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task-list-development-team-contract-amd-1200000-45-days"/>
      </w:pPr>
      <w:bookmarkStart w:id="0" w:name="task_list_development_team_contract_amd_"/>
      <w:r>
        <w:t>Task List — Development Team (contract AMD 1,200,000; ~45 days)</w:t>
      </w:r>
      <w:bookmarkEnd w:id="0"/>
    </w:p>
    <w:p>
      <w:r>
        <w:t xml:space="preserve">August 7, 2026 (rev. 2) · Sorted by priority. Platform languages: </w:t>
      </w:r>
      <w:r>
        <w:rPr>
          <w:b/>
        </w:rPr>
        <w:t>ARM/ENG/RUS (three at launch; French later)</w:t>
      </w:r>
      <w:r>
        <w:t>; mobile-first. Final acceptance test: a US-based client submits a consultation request AND can pay by card, then sees their report in the dashboard.</w:t>
      </w:r>
    </w:p>
    <w:p>
      <w:pPr>
        <w:pStyle w:val="Heading2"/>
        <ck:id v="critical"/>
      </w:pPr>
      <w:bookmarkStart w:id="1" w:name="critical"/>
      <w:r>
        <w:t>Critical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b/>
        </w:rPr>
        <w:t>Payments and products:</w:t>
      </w:r>
      <w:r>
        <w:t xml:space="preserve"> Ameriabank acquiring; international Visa/MC; 3-D Secure on mobile; a clear merchant descriptor; Apple Pay/Google Pay where feasible; live US/EU test cards before release. </w:t>
      </w:r>
      <w:r>
        <w:rPr>
          <w:b/>
        </w:rPr>
        <w:t>Four products:</w:t>
      </w:r>
      <w:r>
        <w:t xml:space="preserve"> "Znnum" (Inspection) </w:t>
      </w:r>
      <w:r>
        <w:rPr>
          <w:b/>
        </w:rPr>
        <w:t>AMD 20,000</w:t>
      </w:r>
      <w:r>
        <w:t xml:space="preserve"> — single visit + photo/video condition report + recommended-works list with prices; credited toward any package within 30 days; </w:t>
      </w:r>
      <w:r>
        <w:rPr>
          <w:b/>
        </w:rPr>
        <w:t>the plot's GPS location is saved to the client file</w:t>
      </w:r>
      <w:r>
        <w:t xml:space="preserve"> (working crews then navigate by pin); Express </w:t>
      </w:r>
      <w:r>
        <w:rPr>
          <w:b/>
        </w:rPr>
        <w:t>AMD 60,000</w:t>
      </w:r>
      <w:r>
        <w:t xml:space="preserve"> — credited toward a subscription within 60 days; absent conversion, a repeat Express within the year is priced automatically at </w:t>
      </w:r>
      <w:r>
        <w:rPr>
          <w:b/>
        </w:rPr>
        <w:t>AMD 40,000</w:t>
      </w:r>
      <w:r>
        <w:t>; Optimal 180,000 (2 deep + 4 light); Maximum 240,000 (</w:t>
      </w:r>
      <w:r>
        <w:rPr>
          <w:b/>
        </w:rPr>
        <w:t>3 deep + 6 light, 9 visits</w:t>
      </w:r>
      <w:r>
        <w:t xml:space="preserve"> — decision of Aug 7).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Reports — the core of the product:</w:t>
      </w:r>
      <w:r>
        <w:t xml:space="preserve"> photo/video upload with automatic GPS and timestamp; </w:t>
      </w:r>
      <w:r>
        <w:rPr>
          <w:b/>
        </w:rPr>
        <w:t>a visit cannot be closed without GPS and four fixed before/after angles</w:t>
      </w:r>
      <w:r>
        <w:t>; display template from the designer; client notification on publication. Znnum uses a distinct report format: condition plus recommended works with prices (the upsell engine).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Family Circle (at launch):</w:t>
      </w:r>
      <w:r>
        <w:t xml:space="preserve"> the account owner invites relatives by link; sub-accounts view reports and order one-off services; sub-accounts accept the terms at first login; </w:t>
      </w:r>
      <w:r>
        <w:rPr>
          <w:b/>
        </w:rPr>
        <w:t>referral reward (decision of Aug 7): a memorial-date flower service with a photo report</w:t>
      </w:r>
      <w:r>
        <w:t xml:space="preserve"> (the earlier "free light visit" mechanic is cancelled); a sub-account can convert into a standalone client.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CTA and funnel (decision of Aug 6):</w:t>
      </w:r>
      <w:r>
        <w:t xml:space="preserve"> the primary CTA is a free-consultation request (name + phone/WhatsApp) captured in CRM; online checkout is the secondary path.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Legal pack in-product:</w:t>
      </w:r>
      <w:r>
        <w:t xml:space="preserve"> terms of service and privacy policy pages (English mandatory), consent checkboxes, renewals only with explicit consent, a refund flow per the terms.</w:t>
      </w:r>
    </w:p>
    <w:p>
      <w:pPr>
        <w:pStyle w:val="Heading2"/>
        <ck:id v="high-priority"/>
      </w:pPr>
      <w:bookmarkStart w:id="2" w:name="high_priority"/>
      <w:r>
        <w:t>High priority</w:t>
      </w:r>
      <w:bookmarkEnd w:id="2"/>
    </w:p>
    <w:p>
      <w:pPr>
        <w:pStyle w:val="ListParagraph"/>
        <w:numPr>
          <w:ilvl w:val="0"/>
          <w:numId w:val="2"/>
        </w:numPr>
      </w:pPr>
      <w:r>
        <w:t>Client dashboard: subscription, visit schedule, report history, visit status, tier change.</w:t>
      </w:r>
    </w:p>
    <w:p>
      <w:pPr>
        <w:pStyle w:val="ListParagraph"/>
        <w:numPr>
          <w:ilvl w:val="0"/>
          <w:numId w:val="2"/>
        </w:numPr>
      </w:pPr>
      <w:r>
        <w:t>Operations console: visit calendar; the Field Visit Protocol as an in-app checklist (a visit cannot close without completing it).</w:t>
      </w:r>
    </w:p>
    <w:p>
      <w:pPr>
        <w:pStyle w:val="ListParagraph"/>
        <w:numPr>
          <w:ilvl w:val="0"/>
          <w:numId w:val="2"/>
        </w:numPr>
      </w:pPr>
      <w:r>
        <w:t>Analytics: UTM capture, lead-source in CRM, funnel events (request → payment), CAC-by-channel dashboard; separately, Znnum→package and Express→subscription conversion.</w:t>
      </w:r>
    </w:p>
    <w:p>
      <w:pPr>
        <w:pStyle w:val="ListParagraph"/>
        <w:numPr>
          <w:ilvl w:val="0"/>
          <w:numId w:val="2"/>
        </w:numPr>
      </w:pPr>
      <w:r>
        <w:t>Contact block: phone, info@memorycare.am, corporate details in the footer (coordinated with the CBDO).</w:t>
      </w:r>
    </w:p>
    <w:p>
      <w:pPr>
        <w:pStyle w:val="Heading2"/>
        <ck:id v="medium-priority"/>
      </w:pPr>
      <w:bookmarkStart w:id="3" w:name="medium_priority"/>
      <w:r>
        <w:t>Medium priority</w:t>
      </w:r>
      <w:bookmarkEnd w:id="3"/>
    </w:p>
    <w:p>
      <w:pPr>
        <w:pStyle w:val="ListParagraph"/>
        <w:numPr>
          <w:ilvl w:val="0"/>
          <w:numId w:val="3"/>
        </w:numPr>
      </w:pPr>
      <w:r>
        <w:t>Multi-currency display (AMD primary; USD/EUR indicative, marked approximate).</w:t>
      </w:r>
    </w:p>
    <w:p>
      <w:pPr>
        <w:pStyle w:val="ListParagraph"/>
        <w:numPr>
          <w:ilvl w:val="0"/>
          <w:numId w:val="3"/>
        </w:numPr>
      </w:pPr>
      <w:r>
        <w:t>Email flows: payment confirmation, report published, Family Circle invitation, renewal reminder at 60 days, Express-credit expiry reminder.</w:t>
      </w:r>
    </w:p>
    <w:p>
      <w:pPr>
        <w:pStyle w:val="ListParagraph"/>
        <w:numPr>
          <w:ilvl w:val="0"/>
          <w:numId w:val="3"/>
        </w:numPr>
      </w:pPr>
      <w:r>
        <w:t>SEO baseline: hreflang for three languages, sitemap, mobile speed; English materials carry a category descriptor (grave care) given the US "memory care" naming collision.</w:t>
      </w:r>
    </w:p>
    <w:p>
      <w:pPr>
        <w:pStyle w:val="ListParagraph"/>
        <w:numPr>
          <w:ilvl w:val="0"/>
          <w:numId w:val="3"/>
        </w:numPr>
      </w:pPr>
      <w:r>
        <w:t>Code handover: the company's git repository as a milestone acceptance condition (per contract).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6"/>
    </w:lvlOverride>
  </w:num>
  <w:num w:numId="3">
    <w:abstractNumId w:val="2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