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mc="http://schemas.openxmlformats.org/markup-compatibility/2006" xmlns:ck="urn:clarkdown:docx" mc:Ignorable="ck">
  <w:body>
    <w:p>
      <w:pPr>
        <w:pStyle w:val="Heading1"/>
        <ck:id v="memorycare-field-visit-protocol"/>
      </w:pPr>
      <w:bookmarkStart w:id="0" w:name="memorycare_field_visit_protocol"/>
      <w:r>
        <w:t>MemoryCare — Field Visit Protocol</w:t>
      </w:r>
      <w:bookmarkEnd w:id="0"/>
    </w:p>
    <w:p>
      <w:r>
        <w:t>Version 1.1 · August 7, 2026 · Mandatory for every visit. Embedded as an in-app checklist: a visit cannot be closed until the required items are complete. The report is the company's product; this protocol is its quality guarantee.</w:t>
      </w:r>
    </w:p>
    <w:p>
      <w:pPr>
        <w:pStyle w:val="Heading2"/>
        <ck:id v="standing-rules-always"/>
      </w:pPr>
      <w:bookmarkStart w:id="1" w:name="standing_rules_always"/>
      <w:r>
        <w:t>Standing rules (always)</w:t>
      </w:r>
      <w:bookmarkEnd w:id="1"/>
    </w:p>
    <w:p>
      <w:r>
        <w:t>Clean MemoryCare uniform, name badge. · Quiet, respectful conduct: never walk across other plots, never move others' belongings, no music, no smoking. · Third-party graves and visitors are never in frame; if visitors are nearby, postpone filming or change the angle. · All interaction with administration or caretakers is courteous, referencing the company's agreement; conflicts are not resolved on site — call the coordinator. · Approved pH-neutral chemistry only; abrasives and chlorine prohibited. · Any damage, however minor: photograph, call the coordinator immediately; the client is informed within 24 hours with a resolution plan.</w:t>
      </w:r>
    </w:p>
    <w:p>
      <w:pPr>
        <w:pStyle w:val="Heading2"/>
        <ck:id v="step-0-znnum-inspection-where-ordered-performed-by-the-light-crew"/>
      </w:pPr>
      <w:bookmarkStart w:id="2" w:name="step_0_znnum_inspection_where_ordered_pe"/>
      <w:r>
        <w:t>Step 0 — Znnum inspection (where ordered; performed by the light crew)</w:t>
      </w:r>
      <w:bookmarkEnd w:id="2"/>
    </w:p>
    <w:p>
      <w:r>
        <w:t xml:space="preserve">The reconnaissance visit is the first contact with the plot and the foundation for all subsequent work. Tasks: (1) locate the plot from the family's details and </w:t>
      </w:r>
      <w:r>
        <w:rPr>
          <w:b/>
        </w:rPr>
        <w:t>fix its precise GPS location in the client file</w:t>
      </w:r>
      <w:r>
        <w:t xml:space="preserve"> — working crews thereafter navigate by pin, losing no time searching; (2) photo/video documentation of current condition using the standard four angles plus a walk-around; (3) complete the in-app condition checklist (monument, inscriptions, fencing, ground, vegetation, litter) and the </w:t>
      </w:r>
      <w:r>
        <w:rPr>
          <w:b/>
        </w:rPr>
        <w:t>recommended-works list with indicative prices</w:t>
      </w:r>
      <w:r>
        <w:t xml:space="preserve"> — it goes into the client's report and forms the basis of the package proposal; (4) if a package is purchased within 30 days, the AMD 20,000 fee is credited automatically. No cleaning is performed on an inspection (it is an information product) — though removing coarse litter from the slab is welcome as a gesture of care visible in the "after" frame.</w:t>
      </w:r>
    </w:p>
    <w:p>
      <w:pPr>
        <w:pStyle w:val="Heading2"/>
        <ck:id v="step-1-before-departure-driver-technician"/>
      </w:pPr>
      <w:bookmarkStart w:id="3" w:name="step_1_before_departure_driver_technicia"/>
      <w:r>
        <w:t>Step 1 — Before departure (driver-technician)</w:t>
      </w:r>
      <w:bookmarkEnd w:id="3"/>
    </w:p>
    <w:p>
      <w:r>
        <w:t>Route and plot numbers for the day; water tanks filled; inventory per list (soft/medium brushes, plastic scrapers, buckets, gloves, waste bags, secateurs, small rake, sprayer, microfiber); approved chemistry; phone/camera charge ≥80%; uniforms for all three.</w:t>
      </w:r>
    </w:p>
    <w:p>
      <w:pPr>
        <w:pStyle w:val="Heading2"/>
        <ck:id v="step-2-on-arrival-before-work-report-owner-technician-3"/>
      </w:pPr>
      <w:bookmarkStart w:id="4" w:name="step_2_on_arrival_before_work_report_own"/>
      <w:r>
        <w:t>Step 2 — On arrival, BEFORE work (report owner — technician #3)</w:t>
      </w:r>
      <w:bookmarkEnd w:id="4"/>
    </w:p>
    <w:p>
      <w:pPr>
        <w:pStyle w:val="ListParagraph"/>
        <w:numPr>
          <w:ilvl w:val="0"/>
          <w:numId w:val="1"/>
        </w:numPr>
      </w:pPr>
      <w:r>
        <w:t>Verify the plot against the order (name, monument photo from the client file, row/landmarks — or the Znnum GPS pin).</w:t>
      </w:r>
    </w:p>
    <w:p>
      <w:pPr>
        <w:pStyle w:val="ListParagraph"/>
        <w:numPr>
          <w:ilvl w:val="0"/>
          <w:numId w:val="1"/>
        </w:numPr>
      </w:pPr>
      <w:r>
        <w:t>GPS fix in the app (automatic).</w:t>
      </w:r>
    </w:p>
    <w:p>
      <w:pPr>
        <w:pStyle w:val="ListParagraph"/>
        <w:numPr>
          <w:ilvl w:val="0"/>
          <w:numId w:val="1"/>
        </w:numPr>
      </w:pPr>
      <w:r>
        <w:t>"BEFORE" photos — four mandatory angles: (1) general view with approach; (2) monument frontal, full height; (3) inscription/portrait close-up; (4) plot boundary and surroundings. Plus a 20–40-second video walk-around.</w:t>
      </w:r>
    </w:p>
    <w:p>
      <w:pPr>
        <w:pStyle w:val="ListParagraph"/>
        <w:numPr>
          <w:ilvl w:val="0"/>
          <w:numId w:val="1"/>
        </w:numPr>
      </w:pPr>
      <w:r>
        <w:t>Document pre-existing damage (chips, cracks, tilt) in separate frames — the company's protection against "you broke this" claims.</w:t>
      </w:r>
    </w:p>
    <w:p>
      <w:pPr>
        <w:pStyle w:val="ListParagraph"/>
        <w:numPr>
          <w:ilvl w:val="0"/>
          <w:numId w:val="1"/>
        </w:numPr>
      </w:pPr>
      <w:r>
        <w:t>One or two frames of the adjacent plots' condition — the shield against third-party claims.</w:t>
      </w:r>
    </w:p>
    <w:p>
      <w:pPr>
        <w:pStyle w:val="Heading2"/>
        <ck:id v="step-3-works"/>
      </w:pPr>
      <w:bookmarkStart w:id="5" w:name="step_3_works"/>
      <w:r>
        <w:t>Step 3 — Works</w:t>
      </w:r>
      <w:bookmarkEnd w:id="5"/>
    </w:p>
    <w:p>
      <w:r>
        <w:rPr>
          <w:b/>
        </w:rPr>
        <w:t>Deep-care visit:</w:t>
      </w:r>
      <w:r>
        <w:t xml:space="preserve"> litter and leaf removal; weeding and shoot removal; washing of monument and base with approved chemistry (spot-test on first visit); tile/gravel cleaning; ground/gravel leveling; seasonal plant care per tier; waste carried to the cemetery container (per the operator agreement). </w:t>
      </w:r>
      <w:r>
        <w:rPr>
          <w:b/>
        </w:rPr>
        <w:t>Light visit:</w:t>
      </w:r>
      <w:r>
        <w:t xml:space="preserve"> condition check; litter/leaf removal; monument wipe-down; watering; flower refresh; minor weeding. Prohibited without separate authorization: moving or dismantling monument elements, painting, work on adjacent plots, tree cutting.</w:t>
      </w:r>
    </w:p>
    <w:p>
      <w:pPr>
        <w:pStyle w:val="Heading2"/>
        <ck:id v="step-4-after-works"/>
      </w:pPr>
      <w:bookmarkStart w:id="6" w:name="step_4_after_works"/>
      <w:r>
        <w:t>Step 4 — After works</w:t>
      </w:r>
      <w:bookmarkEnd w:id="6"/>
    </w:p>
    <w:p>
      <w:pPr>
        <w:pStyle w:val="ListParagraph"/>
        <w:numPr>
          <w:ilvl w:val="0"/>
          <w:numId w:val="2"/>
        </w:numPr>
      </w:pPr>
      <w:r>
        <w:t>"AFTER" photos — the same four angles from the same positions (the app displays the "before" frames as a guide).</w:t>
      </w:r>
    </w:p>
    <w:p>
      <w:pPr>
        <w:pStyle w:val="ListParagraph"/>
        <w:numPr>
          <w:ilvl w:val="0"/>
          <w:numId w:val="2"/>
        </w:numPr>
      </w:pPr>
      <w:r>
        <w:t>A 20–40-second video walk-around.</w:t>
      </w:r>
    </w:p>
    <w:p>
      <w:pPr>
        <w:pStyle w:val="ListParagraph"/>
        <w:numPr>
          <w:ilvl w:val="0"/>
          <w:numId w:val="2"/>
        </w:numPr>
      </w:pPr>
      <w:r>
        <w:t>In-app checklist: operations performed, chemistry used, observations (tilt, subsidence — recommendations for the client).</w:t>
      </w:r>
    </w:p>
    <w:p>
      <w:pPr>
        <w:pStyle w:val="ListParagraph"/>
        <w:numPr>
          <w:ilvl w:val="0"/>
          <w:numId w:val="2"/>
        </w:numPr>
      </w:pPr>
      <w:r>
        <w:t>Close the visit in the app (impossible without GPS + 8 photos + 2 videos).</w:t>
      </w:r>
    </w:p>
    <w:p>
      <w:pPr>
        <w:pStyle w:val="ListParagraph"/>
        <w:numPr>
          <w:ilvl w:val="0"/>
          <w:numId w:val="2"/>
        </w:numPr>
      </w:pPr>
      <w:r>
        <w:t>Leave the plot better than found; waste removed; inventory collected.</w:t>
      </w:r>
    </w:p>
    <w:p>
      <w:pPr>
        <w:pStyle w:val="Heading2"/>
        <ck:id v="step-5-quality-control"/>
      </w:pPr>
      <w:bookmarkStart w:id="7" w:name="step_5_quality_control"/>
      <w:r>
        <w:t>Step 5 — Quality control</w:t>
      </w:r>
      <w:bookmarkEnd w:id="7"/>
    </w:p>
    <w:p>
      <w:r>
        <w:t>For the first three months the coordinator reviews 100% of reports before client delivery (thereafter 20% sampled, plus all first visits for new clients). Criteria: sharpness and light, before/after angle match, cleanliness of result, tone of observations. A failed report is reshot the same or next day. Target: rework rate below 5%.</w:t>
      </w:r>
    </w:p>
    <w:p>
      <w:pPr>
        <w:pStyle w:val="Heading2"/>
        <ck:id v="step-6-incidents"/>
      </w:pPr>
      <w:bookmarkStart w:id="8" w:name="step_6_incidents"/>
      <w:r>
        <w:t>Step 6 — Incidents</w:t>
      </w:r>
      <w:bookmarkEnd w:id="8"/>
    </w:p>
    <w:p>
      <w:r>
        <w:t>Property damage → photograph, coordinator call, incident log entry; client informed within 24 hours with a plan; the AMD 500K reserve and insurance applied by decision of the coordinator and owner. · On-site conflict → do not argue; document; hand to counsel. · Client complaint about a report → a free repeat visit within 7 days.</w:t>
      </w:r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>
  <w:font w:name="Calibri">
    <w:family w:val="swiss"/>
  </w:font>
  <w:font w:name="Calibri Light">
    <w:family w:val="swiss"/>
  </w:font>
  <w:font w:name="Consolas">
    <w:family w:val="modern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1."/>
      <w:lvlJc w:val="left"/>
      <w:pPr>
        <w:ind w:left="2880" w:hanging="360"/>
      </w:pPr>
    </w:lvl>
    <w:lvl w:ilvl="4">
      <w:start w:val="1"/>
      <w:numFmt w:val="decimal"/>
      <w:lvlText w:val="%2."/>
      <w:lvlJc w:val="left"/>
      <w:pPr>
        <w:ind w:left="3600" w:hanging="360"/>
      </w:pPr>
    </w:lvl>
    <w:lvl w:ilvl="5">
      <w:start w:val="1"/>
      <w:numFmt w:val="decimal"/>
      <w:lvlText w:val="%3."/>
      <w:lvlJc w:val="left"/>
      <w:pPr>
        <w:ind w:left="4320" w:hanging="360"/>
      </w:pPr>
    </w:lvl>
    <w:lvl w:ilvl="6">
      <w:start w:val="1"/>
      <w:numFmt w:val="decimal"/>
      <w:lvlText w:val="%1."/>
      <w:lvlJc w:val="left"/>
      <w:pPr>
        <w:ind w:left="5040" w:hanging="360"/>
      </w:pPr>
    </w:lvl>
    <w:lvl w:ilvl="7">
      <w:start w:val="1"/>
      <w:numFmt w:val="decimal"/>
      <w:lvlText w:val="%2."/>
      <w:lvlJc w:val="left"/>
      <w:pPr>
        <w:ind w:left="5760" w:hanging="360"/>
      </w:pPr>
    </w:lvl>
    <w:lvl w:ilvl="8">
      <w:start w:val="1"/>
      <w:numFmt w:val="decimal"/>
      <w:lvlText w:val="%3.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☐"/>
      <w:lvlJc w:val="left"/>
      <w:pPr>
        <w:ind w:left="720" w:hanging="360"/>
      </w:pPr>
    </w:lvl>
    <w:lvl w:ilvl="1">
      <w:start w:val="1"/>
      <w:numFmt w:val="bullet"/>
      <w:lvlText w:val="☐"/>
      <w:lvlJc w:val="left"/>
      <w:pPr>
        <w:ind w:left="1440" w:hanging="360"/>
      </w:pPr>
    </w:lvl>
    <w:lvl w:ilvl="2">
      <w:start w:val="1"/>
      <w:numFmt w:val="bullet"/>
      <w:lvlText w:val="☐"/>
      <w:lvlJc w:val="left"/>
      <w:pPr>
        <w:ind w:left="2160" w:hanging="360"/>
      </w:pPr>
    </w:lvl>
    <w:lvl w:ilvl="3">
      <w:start w:val="1"/>
      <w:numFmt w:val="bullet"/>
      <w:lvlText w:val="☐"/>
      <w:lvlJc w:val="left"/>
      <w:pPr>
        <w:ind w:left="2880" w:hanging="360"/>
      </w:pPr>
    </w:lvl>
    <w:lvl w:ilvl="4">
      <w:start w:val="1"/>
      <w:numFmt w:val="bullet"/>
      <w:lvlText w:val="☐"/>
      <w:lvlJc w:val="left"/>
      <w:pPr>
        <w:ind w:left="3600" w:hanging="360"/>
      </w:pPr>
    </w:lvl>
    <w:lvl w:ilvl="5">
      <w:start w:val="1"/>
      <w:numFmt w:val="bullet"/>
      <w:lvlText w:val="☐"/>
      <w:lvlJc w:val="left"/>
      <w:pPr>
        <w:ind w:left="4320" w:hanging="360"/>
      </w:pPr>
    </w:lvl>
    <w:lvl w:ilvl="6">
      <w:start w:val="1"/>
      <w:numFmt w:val="bullet"/>
      <w:lvlText w:val="☐"/>
      <w:lvlJc w:val="left"/>
      <w:pPr>
        <w:ind w:left="5040" w:hanging="360"/>
      </w:pPr>
    </w:lvl>
    <w:lvl w:ilvl="7">
      <w:start w:val="1"/>
      <w:numFmt w:val="bullet"/>
      <w:lvlText w:val="☐"/>
      <w:lvlJc w:val="left"/>
      <w:pPr>
        <w:ind w:left="5760" w:hanging="360"/>
      </w:pPr>
    </w:lvl>
    <w:lvl w:ilvl="8">
      <w:start w:val="1"/>
      <w:numFmt w:val="bullet"/>
      <w:lvlText w:val="☐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bullet"/>
      <w:lvlText w:val="☑"/>
      <w:lvlJc w:val="left"/>
      <w:pPr>
        <w:ind w:left="720" w:hanging="360"/>
      </w:pPr>
    </w:lvl>
    <w:lvl w:ilvl="1">
      <w:start w:val="1"/>
      <w:numFmt w:val="bullet"/>
      <w:lvlText w:val="☑"/>
      <w:lvlJc w:val="left"/>
      <w:pPr>
        <w:ind w:left="1440" w:hanging="360"/>
      </w:pPr>
    </w:lvl>
    <w:lvl w:ilvl="2">
      <w:start w:val="1"/>
      <w:numFmt w:val="bullet"/>
      <w:lvlText w:val="☑"/>
      <w:lvlJc w:val="left"/>
      <w:pPr>
        <w:ind w:left="2160" w:hanging="360"/>
      </w:pPr>
    </w:lvl>
    <w:lvl w:ilvl="3">
      <w:start w:val="1"/>
      <w:numFmt w:val="bullet"/>
      <w:lvlText w:val="☑"/>
      <w:lvlJc w:val="left"/>
      <w:pPr>
        <w:ind w:left="2880" w:hanging="360"/>
      </w:pPr>
    </w:lvl>
    <w:lvl w:ilvl="4">
      <w:start w:val="1"/>
      <w:numFmt w:val="bullet"/>
      <w:lvlText w:val="☑"/>
      <w:lvlJc w:val="left"/>
      <w:pPr>
        <w:ind w:left="3600" w:hanging="360"/>
      </w:pPr>
    </w:lvl>
    <w:lvl w:ilvl="5">
      <w:start w:val="1"/>
      <w:numFmt w:val="bullet"/>
      <w:lvlText w:val="☑"/>
      <w:lvlJc w:val="left"/>
      <w:pPr>
        <w:ind w:left="4320" w:hanging="360"/>
      </w:pPr>
    </w:lvl>
    <w:lvl w:ilvl="6">
      <w:start w:val="1"/>
      <w:numFmt w:val="bullet"/>
      <w:lvlText w:val="☑"/>
      <w:lvlJc w:val="left"/>
      <w:pPr>
        <w:ind w:left="5040" w:hanging="360"/>
      </w:pPr>
    </w:lvl>
    <w:lvl w:ilvl="7">
      <w:start w:val="1"/>
      <w:numFmt w:val="bullet"/>
      <w:lvlText w:val="☑"/>
      <w:lvlJc w:val="left"/>
      <w:pPr>
        <w:ind w:left="5760" w:hanging="360"/>
      </w:pPr>
    </w:lvl>
    <w:lvl w:ilvl="8">
      <w:start w:val="1"/>
      <w:numFmt w:val="bullet"/>
      <w:lvlText w:val="☑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n-US"/>
      </w:rPr>
    </w:rPrDefault>
    <w:pPrDefault>
      <w:pPr>
        <w:spacing w:after="160" w:line="312" w:lineRule="auto"/>
      </w:pPr>
    </w:pPrDefault>
  </w:docDefaults>
  <w:style w:type="paragraph" w:styleId="Normal" w:default="1">
    <w:name w:val="Normal"/>
  </w:style>
  <w:style w:type="paragraph" w:styleId="Heading1" w:default="0">
    <w:name w:val="heading 1"/>
    <w:basedOn w:val="Normal"/>
    <w:next w:val="Normal"/>
    <w:pPr>
      <w:keepNext/>
      <w:keepLines/>
      <w:spacing w:before="320" w:line="264" w:lineRule="auto"/>
      <w:outlineLvl w:val="0"/>
    </w:pPr>
    <w:rPr>
      <w:rFonts w:ascii="Calibri Light" w:hAnsi="Calibri Light"/>
      <w:b/>
      <w:color w:val="1A1A1A"/>
      <w:sz w:val="43"/>
      <w:szCs w:val="43"/>
    </w:rPr>
  </w:style>
  <w:style w:type="paragraph" w:styleId="Heading2" w:default="0">
    <w:name w:val="heading 2"/>
    <w:basedOn w:val="Normal"/>
    <w:next w:val="Normal"/>
    <w:pPr>
      <w:keepNext/>
      <w:keepLines/>
      <w:spacing w:before="320" w:line="264" w:lineRule="auto"/>
      <w:outlineLvl w:val="1"/>
    </w:pPr>
    <w:rPr>
      <w:rFonts w:ascii="Calibri Light" w:hAnsi="Calibri Light"/>
      <w:b/>
      <w:sz w:val="34"/>
      <w:szCs w:val="34"/>
    </w:rPr>
  </w:style>
  <w:style w:type="paragraph" w:styleId="Heading3" w:default="0">
    <w:name w:val="heading 3"/>
    <w:basedOn w:val="Normal"/>
    <w:next w:val="Normal"/>
    <w:pPr>
      <w:keepNext/>
      <w:keepLines/>
      <w:spacing w:before="160" w:line="264" w:lineRule="auto"/>
      <w:outlineLvl w:val="2"/>
    </w:pPr>
    <w:rPr>
      <w:rFonts w:ascii="Calibri Light" w:hAnsi="Calibri Light"/>
      <w:b/>
      <w:sz w:val="28"/>
      <w:szCs w:val="28"/>
    </w:rPr>
  </w:style>
  <w:style w:type="paragraph" w:styleId="Heading4" w:default="0">
    <w:name w:val="heading 4"/>
    <w:basedOn w:val="Normal"/>
    <w:next w:val="Normal"/>
    <w:pPr>
      <w:keepNext/>
      <w:keepLines/>
      <w:spacing w:before="160" w:line="264" w:lineRule="auto"/>
      <w:outlineLvl w:val="3"/>
    </w:pPr>
    <w:rPr>
      <w:rFonts w:ascii="Calibri Light" w:hAnsi="Calibri Light"/>
      <w:b/>
      <w:sz w:val="22"/>
      <w:szCs w:val="22"/>
    </w:rPr>
  </w:style>
  <w:style w:type="paragraph" w:styleId="Heading5" w:default="0">
    <w:name w:val="heading 5"/>
    <w:basedOn w:val="Normal"/>
    <w:next w:val="Normal"/>
    <w:pPr>
      <w:keepNext/>
      <w:keepLines/>
      <w:spacing w:before="160" w:line="264" w:lineRule="auto"/>
      <w:outlineLvl w:val="4"/>
    </w:pPr>
    <w:rPr>
      <w:rFonts w:ascii="Calibri Light" w:hAnsi="Calibri Light"/>
      <w:b/>
      <w:sz w:val="22"/>
      <w:szCs w:val="22"/>
    </w:rPr>
  </w:style>
  <w:style w:type="paragraph" w:styleId="Heading6" w:default="0">
    <w:name w:val="heading 6"/>
    <w:basedOn w:val="Normal"/>
    <w:next w:val="Normal"/>
    <w:pPr>
      <w:keepNext/>
      <w:keepLines/>
      <w:spacing w:before="160" w:line="264" w:lineRule="auto"/>
      <w:outlineLvl w:val="5"/>
    </w:pPr>
    <w:rPr>
      <w:rFonts w:ascii="Calibri Light" w:hAnsi="Calibri Light"/>
      <w:b/>
      <w:sz w:val="22"/>
      <w:szCs w:val="22"/>
    </w:rPr>
  </w:style>
  <w:style w:type="paragraph" w:styleId="Quote" w:default="0">
    <w:name w:val="Quote"/>
    <w:basedOn w:val="Normal"/>
    <w:pPr>
      <w:ind w:left="320"/>
      <w:pBdr>
        <w:left w:val="single" w:sz="24" w:space="12" w:color="BFBFBF"/>
      </w:pBdr>
    </w:pPr>
    <w:rPr>
      <w:i/>
      <w:color w:val="595959"/>
    </w:rPr>
  </w:style>
  <w:style w:type="character" w:styleId="CkHighlight">
    <w:name w:val="Clarkdown Highlight"/>
    <w:rPr>
      <w:shd w:val="clear" w:fill="FFF2A8"/>
    </w:rPr>
  </w:style>
  <w:style w:type="character" w:styleId="CkSmallcaps">
    <w:name w:val="Clarkdown Smallcaps"/>
    <w:rPr>
      <w:smallCaps/>
    </w:rPr>
  </w:style>
  <w:style w:type="character" w:styleId="CkUnderline">
    <w:name w:val="Clarkdown Underline"/>
    <w:rPr>
      <w:u w:val="single"/>
    </w:rPr>
  </w:style>
  <w:style w:type="character" w:styleId="CkMuted">
    <w:name w:val="Clarkdown Muted"/>
    <w:rPr>
      <w:color w:val="595959"/>
    </w:rPr>
  </w:style>
  <w:style w:type="character" w:styleId="CkAccent">
    <w:name w:val="Clarkdown Accent"/>
    <w:rPr>
      <w:color w:val="1A1A1A"/>
    </w:rPr>
  </w:style>
  <w:style w:type="character" w:styleId="CkCaption">
    <w:name w:val="Clarkdown Caption"/>
    <w:rPr>
      <w:i/>
      <w:color w:val="595959"/>
      <w:sz w:val="20"/>
      <w:szCs w:val="20"/>
    </w:rPr>
  </w:style>
  <w:style w:type="paragraph" w:styleId="CkDisplay" w:default="0">
    <w:name w:val="Clarkdown Display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color w:val="1A1A1A"/>
      <w:sz w:val="132"/>
      <w:szCs w:val="132"/>
    </w:rPr>
  </w:style>
  <w:style w:type="character" w:styleId="CkKicker">
    <w:name w:val="Clarkdown Kicker"/>
    <w:rPr>
      <w:smallCaps/>
      <w:spacing w:val="18"/>
      <w:color w:val="595959"/>
    </w:rPr>
  </w:style>
  <w:style w:type="paragraph" w:styleId="CkTrackedCaps" w:default="0">
    <w:name w:val="Clarkdown Tracked Caps"/>
    <w:basedOn w:val="Normal"/>
    <w:next w:val="Normal"/>
    <w:rPr>
      <w:smallCaps/>
      <w:spacing w:val="18"/>
    </w:rPr>
  </w:style>
  <w:style w:type="paragraph" w:styleId="Title" w:default="0">
    <w:name w:val="Title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sz w:val="54"/>
      <w:szCs w:val="54"/>
    </w:rPr>
  </w:style>
  <w:style w:type="character" w:styleId="Hyperlink">
    <w:name w:val="Hyperlink"/>
    <w:rPr>
      <w:color w:val="1A1A1A"/>
      <w:u w:val="single"/>
    </w:rPr>
  </w:style>
  <w:style w:type="paragraph" w:styleId="CkCodeBlock" w:default="0">
    <w:name w:val="Clarkdown Code Block"/>
    <w:basedOn w:val="Normal"/>
    <w:pPr>
      <w:shd w:val="clear" w:fill="EDEDED"/>
      <w:spacing w:after="0" w:line="240" w:lineRule="auto"/>
    </w:pPr>
    <w:rPr>
      <w:rFonts w:ascii="Consolas" w:hAnsi="Consolas"/>
      <w:noProof/>
      <w:sz w:val="20"/>
    </w:rPr>
  </w:style>
  <w:style w:type="character" w:styleId="CkCode">
    <w:name w:val="Clarkdown Code"/>
    <w:rPr>
      <w:rFonts w:ascii="Consolas" w:hAnsi="Consolas"/>
      <w:shd w:val="clear" w:fill="EDEDED"/>
      <w:sz w:val="20"/>
    </w:rPr>
  </w:style>
  <w:style w:type="paragraph" w:styleId="Caption" w:default="0">
    <w:name w:val="caption"/>
    <w:basedOn w:val="Normal"/>
    <w:rPr>
      <w:i/>
      <w:sz w:val="18"/>
    </w:rPr>
  </w:style>
  <w:style w:type="paragraph" w:styleId="ListParagraph" w:default="0">
    <w:name w:val="List Paragraph"/>
    <w:basedOn w:val="Normal"/>
    <w:pPr>
      <w:ind w:left="320"/>
    </w:pPr>
  </w:style>
  <w:style w:type="paragraph" w:styleId="CkUnknown" w:default="0">
    <w:name w:val="Clarkdown Unknown"/>
    <w:basedOn w:val="Normal"/>
    <w:pPr>
      <w:shd w:val="clear" w:fill="FFEEEE"/>
    </w:pPr>
  </w:style>
  <w:style w:type="paragraph" w:styleId="FootnoteText" w:default="0">
    <w:name w:val="footnote text"/>
    <w:basedOn w:val="Normal"/>
    <w:rPr>
      <w:sz w:val="18"/>
    </w:rPr>
  </w:style>
  <w:style w:type="character" w:styleId="FootnoteReference">
    <w:name w:val="footnote reference"/>
    <w:rPr>
      <w:vertAlign w:val="superscript"/>
    </w:rPr>
  </w:style>
  <w:style w:type="table" w:styleId="CkTable">
    <w:name w:val="Clarkdown Table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table" w:styleId="CkLayout">
    <w:name w:val="Clarkdown Layout"/>
    <w:tblPr>
      <w:tblBorders>
        <w:top w:val="none"/>
        <w:left w:val="none"/>
        <w:bottom w:val="none"/>
        <w:right w:val="none"/>
        <w:insideH w:val="none"/>
        <w:insideV w:val="none"/>
      </w:tblBorders>
    </w:tblPr>
  </w:style>
  <w:style w:type="paragraph" w:styleId="CkNote" w:default="0">
    <w:name w:val="Clarkdown Note"/>
    <w:basedOn w:val="Normal"/>
    <w:pPr>
      <w:pBdr>
        <w:left w:val="single" w:sz="24" w:space="8" w:color="2F6FEB"/>
      </w:pBdr>
      <w:ind w:left="240"/>
    </w:pPr>
  </w:style>
  <w:style w:type="paragraph" w:styleId="CkTip" w:default="0">
    <w:name w:val="Clarkdown Tip"/>
    <w:basedOn w:val="Normal"/>
    <w:pPr>
      <w:pBdr>
        <w:left w:val="single" w:sz="24" w:space="8" w:color="1A7F37"/>
      </w:pBdr>
      <w:ind w:left="240"/>
    </w:pPr>
  </w:style>
  <w:style w:type="paragraph" w:styleId="CkWarning" w:default="0">
    <w:name w:val="Clarkdown Warning"/>
    <w:basedOn w:val="Normal"/>
    <w:pPr>
      <w:pBdr>
        <w:left w:val="single" w:sz="24" w:space="8" w:color="9A6700"/>
      </w:pBdr>
      <w:ind w:left="240"/>
    </w:pPr>
  </w:style>
  <w:style w:type="paragraph" w:styleId="CkImportant" w:default="0">
    <w:name w:val="Clarkdown Important"/>
    <w:basedOn w:val="Normal"/>
    <w:pPr>
      <w:pBdr>
        <w:left w:val="single" w:sz="24" w:space="8" w:color="8250DF"/>
      </w:pBdr>
      <w:ind w:left="240"/>
    </w:pPr>
  </w:style>
  <w:style w:type="paragraph" w:styleId="CkCaution" w:default="0">
    <w:name w:val="Clarkdown Caution"/>
    <w:basedOn w:val="Normal"/>
    <w:pPr>
      <w:pBdr>
        <w:left w:val="single" w:sz="24" w:space="8" w:color="CF222E"/>
      </w:pBdr>
      <w:ind w:left="240"/>
    </w:p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Fonts" Type="http://schemas.openxmlformats.org/officeDocument/2006/relationships/fontTable" Target="fontTable.xml"/><Relationship Id="rId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