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section"/>
      </w:pPr>
      <w:bookmarkStart w:id="0" w:name="section"/>
      <w:r>
        <w:t>Задачник бухгалтеру</w:t>
      </w:r>
      <w:bookmarkEnd w:id="0"/>
    </w:p>
    <w:p>
      <w:r>
        <w:t>MemoryCare LLC · редакция от 11 августа 2026 · заменяет предыдущую версию</w:t>
      </w:r>
    </w:p>
    <w:p>
      <w:pPr>
        <w:pStyle w:val="Heading2"/>
        <ck:id v="section-1"/>
      </w:pPr>
      <w:bookmarkStart w:id="1" w:name="section_1"/>
      <w:r>
        <w:t>Что за компания и почему учёт здесь нетипичный</w:t>
      </w:r>
      <w:bookmarkEnd w:id="1"/>
    </w:p>
    <w:p>
      <w:r>
        <w:t>MemoryCare — подписочный сервис профессионального ухода за семейными местами памяти на кладбищах Еревана. Основной клиент живёт за границей: армянская диаспора в США, Европе и России. Он не может проверить работу лично, поэтому продукт компании — не уборка, а фотовидеоотчёт с GPS и датой, подтверждающий, что уход состоялся.</w:t>
      </w:r>
    </w:p>
    <w:p>
      <w:r>
        <w:t>Из этого вытекают три особенности, которые определяют почти все вопросы ниже.</w:t>
      </w:r>
    </w:p>
    <w:p>
      <w:r>
        <w:rPr>
          <w:b/>
        </w:rPr>
        <w:t>Клиент платит за год вперёд, а услуга оказывается в течение года.</w:t>
      </w:r>
      <w:r>
        <w:t xml:space="preserve"> Годовая подписка стоит от 60 до 240 тысяч драм и оплачивается единовременно. Визиты распределены по сезонам. Значит вопрос признания выручки — не формальность, а центральный методологический вопрос компании.</w:t>
      </w:r>
    </w:p>
    <w:p>
      <w:r>
        <w:rPr>
          <w:b/>
        </w:rPr>
        <w:t>Оплата приходит иностранными картами в валюте.</w:t>
      </w:r>
      <w:r>
        <w:t xml:space="preserve"> Клиент в Лос-Анджелесе платит долларами, зачисление идёт в драмах, с комиссией банка. Эквайринг подключается в Америабанке: Visa, Mastercard, Apple Pay, Google Pay, для местных ArCa.</w:t>
      </w:r>
    </w:p>
    <w:p>
      <w:r>
        <w:rPr>
          <w:b/>
        </w:rPr>
        <w:t>Компания на старте, первых продаж ещё не было.</w:t>
      </w:r>
      <w:r>
        <w:t xml:space="preserve"> Всё, что описано ниже, выстраивается с нуля — это преимущество, потому что не придётся ничего переделывать.</w:t>
      </w:r>
    </w:p>
    <w:p>
      <w:pPr>
        <w:pStyle w:val="Heading2"/>
        <ck:id v="11"/>
      </w:pPr>
      <w:bookmarkStart w:id="2" w:name="_11"/>
      <w:r>
        <w:t>Текущее состояние на 11 августа</w:t>
      </w:r>
      <w:bookmarkEnd w:id="2"/>
    </w:p>
    <w:p>
      <w:r>
        <w:t>Юридическое лицо зарегистрировано. Корпоративный счёт в Америабанке открыт, заявка на интернет-эквайринг подана. Платформа будет готова около 20 сентября, после чего проходит проверку банка; первая онлайн-оплата ожидается в начале октября.</w:t>
      </w:r>
    </w:p>
    <w:p>
      <w:r>
        <w:t xml:space="preserve">Сентябрьский пилот из 5–10 визитов по полной цене проходит </w:t>
      </w:r>
      <w:r>
        <w:rPr>
          <w:b/>
        </w:rPr>
        <w:t>без онлайн-оплаты</w:t>
      </w:r>
      <w:r>
        <w:t xml:space="preserve"> — деньги принимаются переводом на счёт компании по краткому письменному договору, который готовит юрист.</w:t>
      </w:r>
    </w:p>
    <w:p>
      <w:r>
        <w:t>Первичные документы по всем расходам с начала проекта собирает юрист и передаст их вам при выходе.</w:t>
      </w:r>
    </w:p>
    <w:p>
      <w:r>
        <w:t>Есть финансовая модель версии 6.0 — помесячная на пять лет, с плановыми показателями. Она будет основой для план-факта, и часть задач ниже сводится к тому, чтобы заменить в ней допущения фактическими цифрами.</w:t>
      </w:r>
    </w:p>
    <w:p>
      <w:pPr>
        <w:pStyle w:val="Heading2"/>
        <ck:id v="section-2"/>
      </w:pPr>
      <w:bookmarkStart w:id="3" w:name="section_2"/>
      <w:r>
        <w:t>Первая неделя</w:t>
      </w:r>
      <w:bookmarkEnd w:id="3"/>
    </w:p>
    <w:p>
      <w:pPr>
        <w:pStyle w:val="Heading3"/>
        <ck:id v="1"/>
      </w:pPr>
      <w:bookmarkStart w:id="4" w:name="_1"/>
      <w:r>
        <w:t>1. Учётная политика по признанию выручки</w:t>
      </w:r>
      <w:bookmarkEnd w:id="4"/>
    </w:p>
    <w:p>
      <w:r>
        <w:t>Главная задача. Нужен письменный документ, отвечающий на вопрос: в какой момент признаётся выручка по годовой подписке, оплаченной единовременно.</w:t>
      </w:r>
    </w:p>
    <w:p>
      <w:r>
        <w:t>Варианты, которые нужно оценить: кассовый метод, то есть признание всей суммы в момент поступления; равномерное признание в течение года; признание по мере оказания визитов, пропорционально их количеству и трудоёмкости.</w:t>
      </w:r>
    </w:p>
    <w:p>
      <w:r>
        <w:rPr>
          <w:b/>
        </w:rPr>
        <w:t>Осложняющее обстоятельство — механика зачётов.</w:t>
      </w:r>
      <w:r>
        <w:t xml:space="preserve"> В продуктовой линейке есть два перехода, которые надо квалифицировать методологически.</w:t>
      </w:r>
    </w:p>
    <w:p>
      <w:r>
        <w:t>Тариф «Զննում» (осмотр) стоит 20 000 драм. Если клиент в течение 30 дней покупает любой годовой пакет, эти 20 000 засчитываются в его стоимость. Вопрос: считать ли первоначальный платёж выручкой от оказанной услуги, которая затем частично компенсируется скидкой, или авансом.</w:t>
      </w:r>
    </w:p>
    <w:p>
      <w:r>
        <w:t>Тариф «Экспресс» стоит 60 000 драм за один визит. Если клиент в течение 60 дней переходит на годовую подписку, сумма засчитывается. Если не переходит, повторный «Экспресс» в том же календарном году продаётся ему за 40 000 драм.</w:t>
      </w:r>
    </w:p>
    <w:p>
      <w:r>
        <w:t>Нужна позиция по каждому случаю и по тому, как это отражается в первичных документах и в фискальном чеке.</w:t>
      </w:r>
    </w:p>
    <w:p>
      <w:pPr>
        <w:pStyle w:val="Heading3"/>
        <ck:id v="2"/>
      </w:pPr>
      <w:bookmarkStart w:id="5" w:name="_2"/>
      <w:r>
        <w:t>2. Налоговый режим</w:t>
      </w:r>
      <w:bookmarkEnd w:id="5"/>
    </w:p>
    <w:p>
      <w:r>
        <w:t>Этот блок ранее предполагалось получить от юриста, но он относится к вашей зоне. Нужен письменный меморандум на одну-две страницы.</w:t>
      </w:r>
    </w:p>
    <w:p>
      <w:r>
        <w:t>Применим ли к компании режим налога с оборота по ставке 10 процентов и при каких условиях он теряется. Порог по НДС в 115 миллионов драм и механика перехода: в модели переход на общий режим заложен на третий год. Требования к фискальным чекам при оплате банковской картой из-за рубежа — кто и в какой форме выдаёт чек клиенту в Лос-Анджелесе. Требования к фискализации при приёме оплаты переводом на счёт во время сентябрьского пилота.</w:t>
      </w:r>
    </w:p>
    <w:p>
      <w:r>
        <w:t>Последний пункт срочный: банк может задать вопрос о фискальных чеках при подключении эквайринга.</w:t>
      </w:r>
    </w:p>
    <w:p>
      <w:pPr>
        <w:pStyle w:val="Heading3"/>
        <ck:id v="3"/>
      </w:pPr>
      <w:bookmarkStart w:id="6" w:name="_3"/>
      <w:r>
        <w:t>3. Подтвердить нагрузку на фонд оплаты труда</w:t>
      </w:r>
      <w:bookmarkEnd w:id="6"/>
    </w:p>
    <w:p>
      <w:r>
        <w:t xml:space="preserve">В финансовой модели все полевые зарплаты введены как суммы </w:t>
      </w:r>
      <w:r>
        <w:rPr>
          <w:b/>
        </w:rPr>
        <w:t>на руки</w:t>
      </w:r>
      <w:r>
        <w:t>, с коэффициентом 1,35 для перехода к полной стоимости для компании. Коэффициент оценочный.</w:t>
      </w:r>
    </w:p>
    <w:p>
      <w:r>
        <w:t>Действующие ставки: водитель-техник 400 000 драм на руки, мастер по уходу 300 000, лёгкая команда 450 000 на команду.</w:t>
      </w:r>
    </w:p>
    <w:p>
      <w:r>
        <w:t>Нужна точная фактическая нагрузка — подоходный налог, социальные платежи, прочие отчисления — и итоговая стоимость каждой позиции для компании. Эта цифра идёт напрямую в модель.</w:t>
      </w:r>
    </w:p>
    <w:p>
      <w:pPr>
        <w:pStyle w:val="Heading3"/>
        <ck:id v="4"/>
      </w:pPr>
      <w:bookmarkStart w:id="7" w:name="_4"/>
      <w:r>
        <w:t>4. Принять архив первичных документов</w:t>
      </w:r>
      <w:bookmarkEnd w:id="7"/>
    </w:p>
    <w:p>
      <w:r>
        <w:t>Забрать у юриста все документы по расходам с начала проекта: договоры с подрядчиками, платежи, услуги. Открыть учёт.</w:t>
      </w:r>
    </w:p>
    <w:p>
      <w:pPr>
        <w:pStyle w:val="Heading3"/>
        <ck:id v="5"/>
      </w:pPr>
      <w:bookmarkStart w:id="8" w:name="_5"/>
      <w:r>
        <w:t>5. Подписка на программное обеспечение</w:t>
      </w:r>
      <w:bookmarkEnd w:id="8"/>
    </w:p>
    <w:p>
      <w:r>
        <w:t>Оплачивается с личной карты владельца, 120 долларов в месяц. Нужно оформить возмещение как расход компании задним числом и перевести оплату на корпоративный счёт, раз он открыт.</w:t>
      </w:r>
    </w:p>
    <w:p>
      <w:pPr>
        <w:pStyle w:val="Heading2"/>
        <ck:id v="section-3"/>
      </w:pPr>
      <w:bookmarkStart w:id="9" w:name="section_3"/>
      <w:r>
        <w:t>До первой продажи</w:t>
      </w:r>
      <w:bookmarkEnd w:id="9"/>
    </w:p>
    <w:p>
      <w:pPr>
        <w:pStyle w:val="Heading3"/>
        <ck:id v="6"/>
      </w:pPr>
      <w:bookmarkStart w:id="10" w:name="_6"/>
      <w:r>
        <w:t>6. Комиссия банка по иностранным картам</w:t>
      </w:r>
      <w:bookmarkEnd w:id="10"/>
    </w:p>
    <w:p>
      <w:r>
        <w:t xml:space="preserve">Владелец запрашивает у Америабанка письменную ставку комиссии по картам, выпущенным за рубежом. Она обычно заметно выше локальной, а основной клиент платит именно такими картами. </w:t>
      </w:r>
      <w:r>
        <w:rPr>
          <w:b/>
        </w:rPr>
        <w:t>В модели этот вычет из выручки сейчас не заложен вовсе.</w:t>
      </w:r>
      <w:r>
        <w:t xml:space="preserve"> Как только цифра будет получена — внести и пересчитать.</w:t>
      </w:r>
    </w:p>
    <w:p>
      <w:pPr>
        <w:pStyle w:val="Heading3"/>
        <ck:id v="7"/>
      </w:pPr>
      <w:bookmarkStart w:id="11" w:name="_7"/>
      <w:r>
        <w:t>7. Учёт валютных операций</w:t>
      </w:r>
      <w:bookmarkEnd w:id="11"/>
    </w:p>
    <w:p>
      <w:r>
        <w:t>Поступления в долларах и евро с последующей конвертацией в драмы. Нужен порядок отражения курсовых разниц и комиссий эквайринга, а также определение момента признания выручки относительно даты зачисления.</w:t>
      </w:r>
    </w:p>
    <w:p>
      <w:pPr>
        <w:pStyle w:val="Heading3"/>
        <ck:id v="8"/>
      </w:pPr>
      <w:bookmarkStart w:id="12" w:name="_8"/>
      <w:r>
        <w:t>8. Резервы</w:t>
      </w:r>
      <w:bookmarkEnd w:id="12"/>
    </w:p>
    <w:p>
      <w:r>
        <w:t>Два разных резерва, оба требуют методологии.</w:t>
      </w:r>
    </w:p>
    <w:p>
      <w:r>
        <w:t>Резерв на возвраты — в модели заложен как 3 процента от выручки. Основание: оферта предусматривает пропорциональный возврат за неоказанные визиты, а для клиентов из Евросоюза — право отказа в течение 14 дней.</w:t>
      </w:r>
    </w:p>
    <w:p>
      <w:r>
        <w:t>Резерв на инциденты — 500 000 драм, формируется решением владельца. Покрывает франшизу по страховке, мелкий ущерб ниже франшизы и срочную выплату клиенту до завершения урегулирования со страховой. Проект решения готовит юрист; от вас нужен порядок учёта и восстановления резерва после использования.</w:t>
      </w:r>
    </w:p>
    <w:p>
      <w:pPr>
        <w:pStyle w:val="Heading3"/>
        <ck:id v="9"/>
      </w:pPr>
      <w:bookmarkStart w:id="13" w:name="_9"/>
      <w:r>
        <w:t>9. Расходы, оформленные не на компанию</w:t>
      </w:r>
      <w:bookmarkEnd w:id="13"/>
    </w:p>
    <w:p>
      <w:r>
        <w:t>Есть две ситуации, требующие вашего решения.</w:t>
      </w:r>
    </w:p>
    <w:p>
      <w:r>
        <w:rPr>
          <w:b/>
        </w:rPr>
        <w:t>Автомобиль.</w:t>
      </w:r>
      <w:r>
        <w:t xml:space="preserve"> Ford Transit Connect для полевой бригады арендуется на имя владельца как физического лица, ориентировочно до конца сентября. Расход не попадает в затраты компании и налоговую базу не уменьшает. Владелец сохраняет все чеки за аренду и топливо. Нужен порядок оформления компенсации и оценка, целесообразно ли перевести аренду на компанию — в модели на аренду с топливом заложено 112 500 драм в месяц.</w:t>
      </w:r>
    </w:p>
    <w:p>
      <w:r>
        <w:rPr>
          <w:b/>
        </w:rPr>
        <w:t>Работа основателей в поле.</w:t>
      </w:r>
      <w:r>
        <w:t xml:space="preserve"> В сентябре на пилотных визитах физически работают двое основателей, не оформленных как наёмные работники. Юрист даёт рекомендацию по оформлению; от вас нужна оценка налоговых последствий выбранного варианта.</w:t>
      </w:r>
    </w:p>
    <w:p>
      <w:pPr>
        <w:pStyle w:val="Heading3"/>
        <ck:id v="10"/>
      </w:pPr>
      <w:bookmarkStart w:id="14" w:name="_10"/>
      <w:r>
        <w:t>10. Оформление персонала до первого выезда</w:t>
      </w:r>
      <w:bookmarkEnd w:id="14"/>
    </w:p>
    <w:p>
      <w:r>
        <w:t>Оформление должно предшествовать любому выходу человека в поле, включая оплачиваемый пробный день. Шаблоны трудовых договоров готовит юрист к 16 августа. От вас: регистрация работников, график выплат — два раза в месяц, расчётные листки, порядок начисления квартальной премии за качество.</w:t>
      </w:r>
    </w:p>
    <w:p>
      <w:r>
        <w:t>Отдельный вопрос — сезонность. Зимой визитов заметно меньше. Нужна оценка, как корректно оформить снижение нагрузки, не нарушая прав работника.</w:t>
      </w:r>
    </w:p>
    <w:p>
      <w:pPr>
        <w:pStyle w:val="Heading2"/>
        <ck:id v="section-4"/>
      </w:pPr>
      <w:bookmarkStart w:id="15" w:name="section_4"/>
      <w:r>
        <w:t>Регулярная работа</w:t>
      </w:r>
      <w:bookmarkEnd w:id="15"/>
    </w:p>
    <w:p>
      <w:pPr>
        <w:pStyle w:val="Heading3"/>
        <ck:id v="11-1"/>
      </w:pPr>
      <w:bookmarkStart w:id="16" w:name="_11_1"/>
      <w:r>
        <w:t>11. Ежемесячная управленческая отчётность</w:t>
      </w:r>
      <w:bookmarkEnd w:id="16"/>
    </w:p>
    <w:p>
      <w:r>
        <w:t>План-факт по структуре финансовой модели версии 6.0: выручка, фонд оплаты труда с начислениями, буферы на расходные материалы, маркетинг, накладные, разовые статьи.</w:t>
      </w:r>
    </w:p>
    <w:p>
      <w:r>
        <w:t>Отдельно ежемесячно владельцу: отчёт о прибылях и убытках, денежная позиция, обязательства по предоплатам — то есть сколько оплаченных, но не оказанных визитов висит на компании, — и налоговый календарь.</w:t>
      </w:r>
    </w:p>
    <w:p>
      <w:r>
        <w:rPr>
          <w:b/>
        </w:rPr>
        <w:t>Особая дата: 31 декабря 2026.</w:t>
      </w:r>
      <w:r>
        <w:t xml:space="preserve"> К этому дню нужны точные цифры по числу платящих подписчиков с разбивкой по тарифам, стоимости привлечения по каналам и структуре выручки. Собственники сверяют по ним заранее принятый критерий продолжения проекта. Отчёт нужен к 10 января.</w:t>
      </w:r>
    </w:p>
    <w:p>
      <w:pPr>
        <w:pStyle w:val="Heading3"/>
        <ck:id v="12"/>
      </w:pPr>
      <w:bookmarkStart w:id="17" w:name="_12"/>
      <w:r>
        <w:t>12. Плановые ориентиры на первый год</w:t>
      </w:r>
      <w:bookmarkEnd w:id="17"/>
    </w:p>
    <w:p>
      <w:r>
        <w:t>Для понимания масштаба. Сценарий модели — 220 клиентов за первый год. Разовые расходы запуска: дизайнер 1 000 000 драм, разработка платформы 1 200 000, контент и съёмка 500 000. Постоянные накладные: юрист 200 000 в месяц, административные расходы и CRM около 55 000, ваше вознаграждение 55 000, программное обеспечение около 44 000, страхование гражданской ответственности 25 000 оценочно.</w:t>
      </w:r>
    </w:p>
    <w:p>
      <w:r>
        <w:t>Первый год планово убыточен — это принятое собственниками решение, а не проблема учёта.</w:t>
      </w:r>
    </w:p>
    <w:p>
      <w:pPr>
        <w:pStyle w:val="Heading2"/>
        <ck:id v="section-5"/>
      </w:pPr>
      <w:bookmarkStart w:id="18" w:name="section_5"/>
      <w:r>
        <w:t>Цифры, которых модели не хватает</w:t>
      </w:r>
      <w:bookmarkEnd w:id="18"/>
    </w:p>
    <w:p>
      <w:r>
        <w:t>Сведено в один список, потому что по каждой строке нужен ваш ответ, и каждая меняет расчёт.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Показатель</w:t>
            </w:r>
          </w:p>
        </w:tc>
        <w:tc>
          <w:tcPr/>
          <w:p>
            <w:r>
              <w:rPr>
                <w:b/>
              </w:rPr>
              <w:t>Статус в модели</w:t>
            </w:r>
          </w:p>
        </w:tc>
        <w:tc>
          <w:tcPr/>
          <w:p>
            <w:r>
              <w:rPr>
                <w:b/>
              </w:rPr>
              <w:t>Что нужно</w:t>
            </w:r>
          </w:p>
        </w:tc>
      </w:tr>
      <w:tr>
        <w:tc>
          <w:tcPr/>
          <w:p>
            <w:r>
              <w:t>Нагрузка на ФОТ</w:t>
            </w:r>
          </w:p>
        </w:tc>
        <w:tc>
          <w:tcPr/>
          <w:p>
            <w:r>
              <w:t>коэффициент 1,35, оценочный</w:t>
            </w:r>
          </w:p>
        </w:tc>
        <w:tc>
          <w:tcPr/>
          <w:p>
            <w:r>
              <w:t>точная фактическая величина</w:t>
            </w:r>
          </w:p>
        </w:tc>
      </w:tr>
      <w:tr>
        <w:tc>
          <w:tcPr/>
          <w:p>
            <w:r>
              <w:t>Комиссия по иностранным картам</w:t>
            </w:r>
          </w:p>
        </w:tc>
        <w:tc>
          <w:tcPr/>
          <w:p>
            <w:r>
              <w:t>не заложена вовсе</w:t>
            </w:r>
          </w:p>
        </w:tc>
        <w:tc>
          <w:tcPr/>
          <w:p>
            <w:r>
              <w:t>ставка от банка, письменно</w:t>
            </w:r>
          </w:p>
        </w:tc>
      </w:tr>
      <w:tr>
        <w:tc>
          <w:tcPr/>
          <w:p>
            <w:r>
              <w:t>Страхование работников</w:t>
            </w:r>
          </w:p>
        </w:tc>
        <w:tc>
          <w:tcPr/>
          <w:p>
            <w:r>
              <w:t>не заложено вовсе</w:t>
            </w:r>
          </w:p>
        </w:tc>
        <w:tc>
          <w:tcPr/>
          <w:p>
            <w:r>
              <w:t>стоимость на человека в год</w:t>
            </w:r>
          </w:p>
        </w:tc>
      </w:tr>
      <w:tr>
        <w:tc>
          <w:tcPr/>
          <w:p>
            <w:r>
              <w:t>Страхование ответственности</w:t>
            </w:r>
          </w:p>
        </w:tc>
        <w:tc>
          <w:tcPr/>
          <w:p>
            <w:r>
              <w:t>25 000 драм в месяц, оценочно</w:t>
            </w:r>
          </w:p>
        </w:tc>
        <w:tc>
          <w:tcPr/>
          <w:p>
            <w:r>
              <w:t>фактическая премия по полису</w:t>
            </w:r>
          </w:p>
        </w:tc>
      </w:tr>
      <w:tr>
        <w:tc>
          <w:tcPr/>
          <w:p>
            <w:r>
              <w:t>Снаряжение и инструмент</w:t>
            </w:r>
          </w:p>
        </w:tc>
        <w:tc>
          <w:tcPr/>
          <w:p>
            <w:r>
              <w:t>нет отдельной строки</w:t>
            </w:r>
          </w:p>
        </w:tc>
        <w:tc>
          <w:tcPr/>
          <w:p>
            <w:r>
              <w:t>смета разовой закупки</w:t>
            </w:r>
          </w:p>
        </w:tc>
      </w:tr>
      <w:tr>
        <w:tc>
          <w:tcPr/>
          <w:p>
            <w:r>
              <w:t>Аренда автомобиля</w:t>
            </w:r>
          </w:p>
        </w:tc>
        <w:tc>
          <w:tcPr/>
          <w:p>
            <w:r>
              <w:t>112 500 драм в месяц</w:t>
            </w:r>
          </w:p>
        </w:tc>
        <w:tc>
          <w:tcPr/>
          <w:p>
            <w:r>
              <w:t>фактические чеки</w:t>
            </w:r>
          </w:p>
        </w:tc>
      </w:tr>
      <w:tr>
        <w:tc>
          <w:tcPr/>
          <w:p>
            <w:r>
              <w:t>Переводы сайта на три языка</w:t>
            </w:r>
          </w:p>
        </w:tc>
        <w:tc>
          <w:tcPr/>
          <w:p>
            <w:r>
              <w:t>не заложены</w:t>
            </w:r>
          </w:p>
        </w:tc>
        <w:tc>
          <w:tcPr/>
          <w:p>
            <w:r>
              <w:t>оценка стоимости</w:t>
            </w:r>
          </w:p>
        </w:tc>
      </w:tr>
    </w:tbl>
    <w:p>
      <w:pPr>
        <w:pStyle w:val="Heading2"/>
        <ck:id v="section-6"/>
      </w:pPr>
      <w:bookmarkStart w:id="19" w:name="section_6"/>
      <w:r>
        <w:t>Открытые вопросы, по которым нужна ваша позиция</w:t>
      </w:r>
      <w:bookmarkEnd w:id="19"/>
    </w:p>
    <w:p>
      <w:r>
        <w:t>Признание выручки по годовым предоплатам — основной.</w:t>
      </w:r>
    </w:p>
    <w:p>
      <w:r>
        <w:t>Квалификация зачётов «Զննում» и «Экспресса»: скидка или аванс.</w:t>
      </w:r>
    </w:p>
    <w:p>
      <w:r>
        <w:t>Фискальные чеки при оплате иностранной картой и при оплате переводом на пилоте.</w:t>
      </w:r>
    </w:p>
    <w:p>
      <w:r>
        <w:t>Момент признания выручки относительно даты зачисления при валютных поступлениях.</w:t>
      </w:r>
    </w:p>
    <w:p>
      <w:r>
        <w:t>Целесообразность перевода аренды автомобиля на компанию.</w:t>
      </w:r>
    </w:p>
    <w:p>
      <w:r>
        <w:t>Оформление работы основателей в поле на период пилота.</w:t>
      </w:r>
    </w:p>
    <w:p>
      <w:pPr>
        <w:pStyle w:val="Heading2"/>
        <ck:id v="section-7"/>
      </w:pPr>
      <w:bookmarkStart w:id="20" w:name="section_7"/>
      <w:r>
        <w:t>Что вам передадут при выходе</w:t>
      </w:r>
      <w:bookmarkEnd w:id="20"/>
    </w:p>
    <w:p>
      <w:r>
        <w:t>Архив первичных документов от юриста. Финансовая модель версии 6.0 в формате электронной таблицы. Полный пакет документов компании: бизнес-план, тарифы, протокол полевого визита, задачники подрядчиков. Доступ к CRM, где будут вестись сделки и платежи.</w:t>
      </w:r>
    </w:p>
    <w:p>
      <w:r>
        <w:t>Ответственный со стороны компании — Хайк Манукян, CBDO.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