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Core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mc="http://schemas.openxmlformats.org/markup-compatibility/2006" xmlns:ck="urn:clarkdown:docx" mc:Ignorable="ck">
  <w:body>
    <w:p>
      <w:pPr>
        <w:pStyle w:val="Heading1"/>
        <ck:id v="section"/>
      </w:pPr>
      <w:bookmarkStart w:id="0" w:name="section"/>
      <w:r>
        <w:t>Общий задачник — Хайк и Давид</w:t>
      </w:r>
      <w:bookmarkEnd w:id="0"/>
    </w:p>
    <w:p>
      <w:r>
        <w:t>MemoryCare · редакция от 11 августа 2026</w:t>
      </w:r>
    </w:p>
    <w:p>
      <w:r>
        <w:t>Один рабочий документ на двоих. Собраны все задачи обоих основателей — из исходных задачников, из записки от десятого августа и из того, что появилось за последние дни.</w:t>
      </w:r>
    </w:p>
    <w:p>
      <w:r>
        <w:t>Задачи сгруппированы по срокам, а не по людям: вы работаете вместе, и порядок здесь важнее разделения. Ответственный указан там, где это существенно.</w:t>
      </w:r>
    </w:p>
    <w:p>
      <w:pPr>
        <w:pStyle w:val="Heading2"/>
        <ck:id v="section-1"/>
      </w:pPr>
      <w:bookmarkStart w:id="1" w:name="section_1"/>
      <w:r>
        <w:t>Что закрылось за последние дни</w:t>
      </w:r>
      <w:bookmarkEnd w:id="1"/>
    </w:p>
    <w:p>
      <w:r>
        <w:rPr>
          <w:b/>
        </w:rPr>
        <w:t>Доступ на кладбища.</w:t>
      </w:r>
      <w:r>
        <w:t xml:space="preserve"> Заключение юриста: операторов кладбищ в Армении нет, эту функцию выполняет муниципалитет, для нашей услуги достаточно разрешения клиента. Рамочный договор больше не нужен, запуск ни от кого не зависит. Осталось получить заключение письменно — оно пойдёт приложением к разговору со страховщиком и основанием для формулировок в оферте.</w:t>
      </w:r>
    </w:p>
    <w:p>
      <w:r>
        <w:rPr>
          <w:b/>
        </w:rPr>
        <w:t>Банк и эквайринг.</w:t>
      </w:r>
      <w:r>
        <w:t xml:space="preserve"> Корпоративный счёт в Америабанке открыт, эквайринг подключается вместе с ним: Visa, Mastercard, Apple Pay, Google Pay, ArCa. Это был единственный пункт, который нельзя было ускорить своими руками.</w:t>
      </w:r>
    </w:p>
    <w:p>
      <w:r>
        <w:rPr>
          <w:b/>
        </w:rPr>
        <w:t>Объявление о найме опубликовано.</w:t>
      </w:r>
      <w:r>
        <w:t xml:space="preserve"> Ждём кандидатов.</w:t>
      </w:r>
    </w:p>
    <w:p>
      <w:pPr>
        <w:pStyle w:val="Heading2"/>
        <ck:id v="17"/>
      </w:pPr>
      <w:bookmarkStart w:id="2" w:name="_17"/>
      <w:r>
        <w:t>Ближайшая неделя: до 17 августа</w:t>
      </w:r>
      <w:bookmarkEnd w:id="2"/>
    </w:p>
    <w:p>
      <w:r>
        <w:t>Всё в этом разделе завязано на репетиционные выезды семнадцатого-девятнадцатого. Если хоть один пункт не закроется, репетиция сдвинется, а за ней и пилот.</w:t>
      </w:r>
    </w:p>
    <w:p>
      <w:r>
        <w:rPr>
          <w:b/>
        </w:rPr>
        <w:t>Анализ химии — начать сегодня (оба).</w:t>
      </w:r>
      <w:r>
        <w:t xml:space="preserve"> Самый длинный по срокам пункт и самый рискованный по последствиям. Развёрнутая постановка задачи — в отдельном разделе ниже.</w:t>
      </w:r>
    </w:p>
    <w:p>
      <w:r>
        <w:rPr>
          <w:b/>
        </w:rPr>
        <w:t>Собеседования и найм мастера (Хайк).</w:t>
      </w:r>
      <w:r>
        <w:t xml:space="preserve"> Объявление висит. К нему в пакете документов лежит анкета оценки кандидата с тремя проверочными вопросами на отношение к делу — самый показательный про сколотый соседний памятник: ответ «тихо починю и промолчу» означает отказ. Оформление должно предшествовать любому выходу в поле, включая оплачиваемый пробный день.</w:t>
      </w:r>
    </w:p>
    <w:p>
      <w:r>
        <w:rPr>
          <w:b/>
        </w:rPr>
        <w:t>Смета и закупка инвентаря (оба).</w:t>
      </w:r>
      <w:r>
        <w:t xml:space="preserve"> Развёрнутый список — в отдельном разделе.</w:t>
      </w:r>
    </w:p>
    <w:p>
      <w:r>
        <w:rPr>
          <w:b/>
        </w:rPr>
        <w:t>Заказать форму (Хайк).</w:t>
      </w:r>
      <w:r>
        <w:t xml:space="preserve"> Макет от дизайнера приходит четырнадцатого. Если полный комплект не успевает — печатать временный вариант, хотя бы футболки с логотипом.</w:t>
      </w:r>
    </w:p>
    <w:p>
      <w:r>
        <w:rPr>
          <w:b/>
        </w:rPr>
        <w:t>Выбрать участок для репетиции (оба).</w:t>
      </w:r>
      <w:r>
        <w:t xml:space="preserve"> Семейный участок кого-то из вас. Желательно с реальными проблемами — налёт, мох, заросли; идеально чистый памятник ничему не научит и не даст материала для кадра «до и после».</w:t>
      </w:r>
    </w:p>
    <w:p>
      <w:r>
        <w:rPr>
          <w:b/>
        </w:rPr>
        <w:t>Трудовые документы от юриста — к 16 августа.</w:t>
      </w:r>
      <w:r>
        <w:t xml:space="preserve"> Плюс журнал инструктажа по технике безопасности: при производственной травме его отсутствие переводит ответственность на работодателя целиком, и страховка этого не смягчает.</w:t>
      </w:r>
    </w:p>
    <w:p>
      <w:r>
        <w:rPr>
          <w:b/>
        </w:rPr>
        <w:t>Почта info@memorycare.am (Хайк)</w:t>
      </w:r>
      <w:r>
        <w:t xml:space="preserve"> — одиннадцатого. </w:t>
      </w:r>
      <w:r>
        <w:rPr>
          <w:b/>
        </w:rPr>
        <w:t>Корпоративный номер — в понедельник, 17 августа.</w:t>
      </w:r>
      <w:r>
        <w:t xml:space="preserve"> Номер завести так, чтобы на него встал WhatsApp Business: диаспора не звонит в Армению, она пишет.</w:t>
      </w:r>
    </w:p>
    <w:p>
      <w:r>
        <w:rPr>
          <w:b/>
        </w:rPr>
        <w:t>Дизайнер: файлы 14-го, встреча 15-го (Хайк).</w:t>
      </w:r>
      <w:r>
        <w:t xml:space="preserve"> До встречи убедиться, что он знает про четвёртый тариф и новую комплектацию Максимума — бриф уходил до этих решений; пакет обновлений для него подготовлен. На встрече требовать в первую очередь шаблон отчёта и экраны платформы, а не логотип: у разработчиков сорок пять дней, и без макетов они стоят.</w:t>
      </w:r>
    </w:p>
    <w:p>
      <w:r>
        <w:rPr>
          <w:b/>
        </w:rPr>
        <w:t>Контракт с программистами (Хайк).</w:t>
      </w:r>
      <w:r>
        <w:t xml:space="preserve"> Связаться с Игорем, уточнить статус. Дедлайн подписания был восьмого и уже прошёл, а работа идёт.</w:t>
      </w:r>
    </w:p>
    <w:p>
      <w:r>
        <w:rPr>
          <w:b/>
        </w:rPr>
        <w:t>Банк — добрать три вещи (Давид).</w:t>
      </w:r>
      <w:r>
        <w:t xml:space="preserve"> Тестовые ключи эквайринга, чтобы разработчики встраивали оплату уже сейчас, не дожидаясь активации боевого. Письменно комиссию по иностранным картам — она обычно заметно выше локальной, а наш основной клиент платит из США и ЕС, и в модели этот вычет не заложен. И срок, за который банк проверяет сайт перед включением эквайринга.</w:t>
      </w:r>
    </w:p>
    <w:p>
      <w:pPr>
        <w:pStyle w:val="Heading2"/>
        <ck:id v="section-2"/>
      </w:pPr>
      <w:bookmarkStart w:id="3" w:name="section_2"/>
      <w:r>
        <w:t>Анализ химии — задача на исследование</w:t>
      </w:r>
      <w:bookmarkEnd w:id="3"/>
    </w:p>
    <w:p>
      <w:r>
        <w:t>Это не покупка, а исследовательская работа, и относиться к ней нужно соответственно. Ошибка в выборе состава не видна сразу: кислота на мраморе или хлор на пористом камне проявляются через месяцы, когда бригада давно уехала, а ущерб уже необратим. Восстановление памятника стоит дороже годовой подписки, а репутационная цена такого случая в нашей сфере не измеряется деньгами вовсе.</w:t>
      </w:r>
    </w:p>
    <w:p>
      <w:r>
        <w:t>Поэтому нужен не список «что купить», а таблица соответствий: какой камень, какое загрязнение, какое средство, какой метод и чего категорически нельзя.</w:t>
      </w:r>
    </w:p>
    <w:p>
      <w:pPr>
        <w:pStyle w:val="Heading3"/>
        <ck:id v="section-3"/>
      </w:pPr>
      <w:bookmarkStart w:id="4" w:name="section_3"/>
      <w:r>
        <w:t>Шаг первый: какие камни мы вообще встретим</w:t>
      </w:r>
      <w:bookmarkEnd w:id="4"/>
    </w:p>
    <w:p>
      <w:r>
        <w:t>До покупки химии нужно понять, с чем придётся работать. Пройти по ереванским кладбищам и зафиксировать, какие материалы реально преобладают.</w:t>
      </w:r>
    </w:p>
    <w:p>
      <w:r>
        <w:t>Ожидаемый набор: полированный гранит, необработанный или термообработанный гранит, мрамор, базальт, армянский туф, известняк и травертин, бетон и искусственный камень, гранитная крошка. Отдельно — металлические элементы: ограды, кресты, таблички.</w:t>
      </w:r>
    </w:p>
    <w:p>
      <w:r>
        <w:t>Особое внимание пористым породам. Туф и травертин впитывают всё, что на них попадает, — и грязь, и чистящее средство. То, что безопасно смывается с полированного гранита, в пористом камне остаётся внутри и продолжает работать.</w:t>
      </w:r>
    </w:p>
    <w:p>
      <w:pPr>
        <w:pStyle w:val="Heading3"/>
        <ck:id v="section-4"/>
      </w:pPr>
      <w:bookmarkStart w:id="5" w:name="section_4"/>
      <w:r>
        <w:t>Шаг второй: какие загрязнения бывают</w:t>
      </w:r>
      <w:bookmarkEnd w:id="5"/>
    </w:p>
    <w:p>
      <w:r>
        <w:t>По каждому типу камня нужно понимать характерные загрязнения, потому что средство подбирается под пару «камень плюс загрязнение», а не под камень вообще.</w:t>
      </w:r>
    </w:p>
    <w:p>
      <w:r>
        <w:t>Биологические поражения — мох, лишайник, водоросли, плесень. Атмосферная грязь и пыль. Копоть от свечей и лампад. Птичий помёт, который кислотен сам по себе и разъедает полировку. Ржавые потёки от металлических элементов и креплений. Высолы — белый налёт солей, выходящих из камня изнутри. Потемнение и патина. Остатки клея, краски, скотча от прошлых работ.</w:t>
      </w:r>
    </w:p>
    <w:p>
      <w:pPr>
        <w:pStyle w:val="Heading3"/>
        <ck:id v="section-5"/>
      </w:pPr>
      <w:bookmarkStart w:id="6" w:name="section_5"/>
      <w:r>
        <w:t>Шаг третий: что можно и чего нельзя по каждой паре</w:t>
      </w:r>
      <w:bookmarkEnd w:id="6"/>
    </w:p>
    <w:p>
      <w:r>
        <w:t>Это ядро исследования. По каждой паре «камень плюс загрязнение» нужен ответ на четыре вопроса: каким средством, каким инструментом, сколько времени выдержки, и что при этом категорически запрещено.</w:t>
      </w:r>
    </w:p>
    <w:p>
      <w:r>
        <w:t>Базовые ограничения, от которых отталкиваться. Кислоты в любом виде, включая бытовые уксус и лимонную кислоту, необратимо растворяют мрамор, известняк и травертин — камень мутнеет и теряет полировку навсегда. Хлор и отбеливатель кажутся эффективными, потому что осветляют пятно, но соли остаются в порах, вытягивают влагу и разрушают камень изнутри; через год он начинает шелушиться. Абразивные порошки и пасты снимают полировку. Металлические щётки оставляют следы, которые не убираются никогда. Мойка высокого давления вымывает швы и сбивает полировку с мягкого камня.</w:t>
      </w:r>
    </w:p>
    <w:p>
      <w:r>
        <w:t>Против биологических поражений отраслевой ориентир — биоцидные составы на четвертичных аммониевых соединениях. Именно ими обрабатывают памятники на военных кладбищах в США, продукт-эталон для поиска аналога — D/2 Biological Solution. Работают медленно, эффект проявляется за недели, зато камень не разрушают. Это надо будет объяснять клиенту заранее, иначе он ждёт мгновенного результата.</w:t>
      </w:r>
    </w:p>
    <w:p>
      <w:pPr>
        <w:pStyle w:val="Heading3"/>
        <ck:id v="section-6"/>
      </w:pPr>
      <w:bookmarkStart w:id="7" w:name="section_6"/>
      <w:r>
        <w:t>Шаг четвёртый: отдельно надписи, портреты и металл</w:t>
      </w:r>
      <w:bookmarkEnd w:id="7"/>
    </w:p>
    <w:p>
      <w:r>
        <w:t>Часть, которую легче всего испортить и о которой обычно не думают.</w:t>
      </w:r>
    </w:p>
    <w:p>
      <w:r>
        <w:t>Надписи бывают просто гравированные, гравированные с заполнением краской и покрытые сусальным золотом. Заполнение и позолота смываются агрессивным средством за один проход — и восстанавливать их придётся за наш счёт у резчика.</w:t>
      </w:r>
    </w:p>
    <w:p>
      <w:r>
        <w:t>Портреты бывают эмалевые, фотокерамические и лазерной гравировкой по камню. У каждого свои ограничения, а эмаль ещё и трескается от резкого перепада температуры — то есть от холодной воды на нагретой солнцем поверхности.</w:t>
      </w:r>
    </w:p>
    <w:p>
      <w:r>
        <w:t>Металлические ограды и кресты требуют совсем другого подхода: удаление ржавчины, обработка, при необходимости подкраска. Нужно решить, входит ли это в наши услуги вообще, и если да — какими средствами.</w:t>
      </w:r>
    </w:p>
    <w:p>
      <w:pPr>
        <w:pStyle w:val="Heading3"/>
        <ck:id v="section-7"/>
      </w:pPr>
      <w:bookmarkStart w:id="8" w:name="section_7"/>
      <w:r>
        <w:t>Шаг пятый: что из этого доступно в Ереване</w:t>
      </w:r>
      <w:bookmarkEnd w:id="8"/>
    </w:p>
    <w:p>
      <w:r>
        <w:t>Найти, что из подходящих составов реально продаётся в Армении, по какой цене, каков расход на один памятник — от этого напрямую зависит себестоимость визита и строка расходников в модели. Если чего-то нет в наличии, узнать сроки и стоимость доставки.</w:t>
      </w:r>
    </w:p>
    <w:p>
      <w:r>
        <w:rPr>
          <w:b/>
        </w:rPr>
        <w:t>Практический ход:</w:t>
      </w:r>
      <w:r>
        <w:t xml:space="preserve"> спросите у мастерских, которые изготавливают памятники, и у резчиков. Они работают с камнем каждый день и знают, чем его чистят и чем портят, лучше любого магазина бытовой химии. Заодно это первый контакт с людьми, которые потом могут стать партнёрским каналом.</w:t>
      </w:r>
    </w:p>
    <w:p>
      <w:pPr>
        <w:pStyle w:val="Heading3"/>
        <ck:id v="section-8"/>
      </w:pPr>
      <w:bookmarkStart w:id="9" w:name="section_8"/>
      <w:r>
        <w:t>Шаг шестой: собственные испытания</w:t>
      </w:r>
      <w:bookmarkEnd w:id="9"/>
    </w:p>
    <w:p>
      <w:r>
        <w:t>До первого клиентского визита провести испытания на образцах или на семейном участке: нанести, выдержать, смыть, оценить результат и — что важнее — посмотреть на тот же камень через неделю и через месяц. Зафиксировать в письменном виде.</w:t>
      </w:r>
    </w:p>
    <w:p>
      <w:pPr>
        <w:pStyle w:val="Heading3"/>
        <ck:id v="section-9"/>
      </w:pPr>
      <w:bookmarkStart w:id="10" w:name="section_9"/>
      <w:r>
        <w:t>Что должно получиться на выходе</w:t>
      </w:r>
      <w:bookmarkEnd w:id="10"/>
    </w:p>
    <w:p>
      <w:r>
        <w:t>Таблица соответствий «камень × загрязнение → средство, метод, выдержка, запреты», список закупки с ценами и расходом, и короткая памятка для бригады, которая ляжет в протокол визита как обязательная часть. Плюс правило, которое уже есть в протоколе: на первом визите к каждому новому памятнику средство тестируется на незаметном участке.</w:t>
      </w:r>
    </w:p>
    <w:p>
      <w:r>
        <w:t>Часть этого исследования — обзор составов, совместимости с типами камня и методик — я могу сделать сам и выдать готовую таблицу, вам останется проверить наличие и цены в Ереване. Скажите, если нужно.</w:t>
      </w:r>
    </w:p>
    <w:p>
      <w:pPr>
        <w:pStyle w:val="Heading2"/>
        <ck:id v="section-10"/>
      </w:pPr>
      <w:bookmarkStart w:id="11" w:name="section_10"/>
      <w:r>
        <w:t>Химия для травы</w:t>
      </w:r>
      <w:bookmarkEnd w:id="11"/>
    </w:p>
    <w:p>
      <w:r>
        <w:t>Решение принято: изучаем и применяем. Рамки, снимающие с этого риск.</w:t>
      </w:r>
    </w:p>
    <w:p>
      <w:r>
        <w:t>Наносить точечно кистью или аппликатором, не распылять. В ветер не работать. Брать контактные препараты, а не системные почвенные — последние мигрируют с водой, и погибнуть может растение на соседнем участке, к которому мы отношения не имеем. Факт обработки фиксировать в отчёте: если через месяц у соседей что-то засохнет, у нас будет документ с датой и составом.</w:t>
      </w:r>
    </w:p>
    <w:p>
      <w:r>
        <w:t>Выяснить, что разрешено к обороту в Армении, что реально продаётся, цены и расход.</w:t>
      </w:r>
    </w:p>
    <w:p>
      <w:r>
        <w:rPr>
          <w:b/>
        </w:rPr>
        <w:t>Идея на продажу.</w:t>
      </w:r>
      <w:r>
        <w:t xml:space="preserve"> Долгосрочно траву решает не химия, а геотекстиль с отсыпкой гравием. Разовая работа, избавляющая от прополки на годы. Стоит посчитать как отдельную платную услугу: клиенту результат, которого не даёт подписка, нам — разовая выручка и меньше работы на следующих визитах.</w:t>
      </w:r>
    </w:p>
    <w:p>
      <w:pPr>
        <w:pStyle w:val="Heading2"/>
        <ck:id v="section-11"/>
      </w:pPr>
      <w:bookmarkStart w:id="12" w:name="section_11"/>
      <w:r>
        <w:t>Закупка инвентаря</w:t>
      </w:r>
      <w:bookmarkEnd w:id="12"/>
    </w:p>
    <w:p>
      <w:r>
        <w:t>Список составлен под наш протокол: глубокая уборка с мойкой памятника, уход за грунтом и растениями, обязательная фотовидеофиксация. Количества даны на одну бригаду из трёх человек.</w:t>
      </w:r>
    </w:p>
    <w:p>
      <w:pPr>
        <w:pStyle w:val="Heading3"/>
        <ck:id v="section-12"/>
      </w:pPr>
      <w:bookmarkStart w:id="13" w:name="section_12"/>
      <w:r>
        <w:t>Щётки, скребки, ткани</w:t>
      </w:r>
      <w:bookmarkEnd w:id="13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Позиция</w:t>
            </w:r>
          </w:p>
        </w:tc>
        <w:tc>
          <w:tcPr/>
          <w:p>
            <w:r>
              <w:rPr>
                <w:b/>
              </w:rPr>
              <w:t>Кол-во</w:t>
            </w:r>
          </w:p>
        </w:tc>
        <w:tc>
          <w:tcPr/>
          <w:p>
            <w:r>
              <w:rPr>
                <w:b/>
              </w:rPr>
              <w:t>Назначение и требования</w:t>
            </w:r>
          </w:p>
        </w:tc>
      </w:tr>
      <w:tr>
        <w:tc>
          <w:tcPr/>
          <w:p>
            <w:r>
              <w:t>Щётка мягкая нейлоновая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Полированный гранит, мрамор. Ворс не жёстче зубной щётки</w:t>
            </w:r>
          </w:p>
        </w:tc>
      </w:tr>
      <w:tr>
        <w:tc>
          <w:tcPr/>
          <w:p>
            <w:r>
              <w:t>Щётка средней жёсткости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Необработанный камень, бетонное основание</w:t>
            </w:r>
          </w:p>
        </w:tc>
      </w:tr>
      <w:tr>
        <w:tc>
          <w:tcPr/>
          <w:p>
            <w:r>
              <w:t>Щётка узкая для букв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Гравировка, рельеф, углы. Тонкая, типа зубной</w:t>
            </w:r>
          </w:p>
        </w:tc>
      </w:tr>
      <w:tr>
        <w:tc>
          <w:tcPr/>
          <w:p>
            <w:r>
              <w:t>Щётка на длинной ручке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Высокие стелы, чтобы не тянуться</w:t>
            </w:r>
          </w:p>
        </w:tc>
      </w:tr>
      <w:tr>
        <w:tc>
          <w:tcPr/>
          <w:p>
            <w:r>
              <w:t>Скребок пластиковый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Только пластик или дерево. Металл царапает с первого движения</w:t>
            </w:r>
          </w:p>
        </w:tc>
      </w:tr>
      <w:tr>
        <w:tc>
          <w:tcPr/>
          <w:p>
            <w:r>
              <w:t>Микрофибра</w:t>
            </w:r>
          </w:p>
        </w:tc>
        <w:tc>
          <w:tcPr/>
          <w:p>
            <w:r>
              <w:t>10–15</w:t>
            </w:r>
          </w:p>
        </w:tc>
        <w:tc>
          <w:tcPr/>
          <w:p>
            <w:r>
              <w:t>Мойка и протирка</w:t>
            </w:r>
          </w:p>
        </w:tc>
      </w:tr>
      <w:tr>
        <w:tc>
          <w:tcPr/>
          <w:p>
            <w:r>
              <w:t>Замша или мягкая безворсовая ткань</w:t>
            </w:r>
          </w:p>
        </w:tc>
        <w:tc>
          <w:tcPr/>
          <w:p>
            <w:r>
              <w:t>5</w:t>
            </w:r>
          </w:p>
        </w:tc>
        <w:tc>
          <w:tcPr/>
          <w:p>
            <w:r>
              <w:t>Финишная протирка — она даёт эффект «как новый» на кадре «после»</w:t>
            </w:r>
          </w:p>
        </w:tc>
      </w:tr>
      <w:tr>
        <w:tc>
          <w:tcPr/>
          <w:p>
            <w:r>
              <w:t>Губки</w:t>
            </w:r>
          </w:p>
        </w:tc>
        <w:tc>
          <w:tcPr/>
          <w:p>
            <w:r>
              <w:t>6</w:t>
            </w:r>
          </w:p>
        </w:tc>
        <w:tc>
          <w:tcPr/>
          <w:p>
            <w:r>
              <w:t>Неабразивные, без жёсткого слоя</w:t>
            </w:r>
          </w:p>
        </w:tc>
      </w:tr>
    </w:tbl>
    <w:p>
      <w:pPr>
        <w:pStyle w:val="Heading3"/>
        <ck:id v="section-13"/>
      </w:pPr>
      <w:bookmarkStart w:id="14" w:name="section_13"/>
      <w:r>
        <w:t>Вода и нанесение</w:t>
      </w:r>
      <w:bookmarkEnd w:id="14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Позиция</w:t>
            </w:r>
          </w:p>
        </w:tc>
        <w:tc>
          <w:tcPr/>
          <w:p>
            <w:r>
              <w:rPr>
                <w:b/>
              </w:rPr>
              <w:t>Кол-во</w:t>
            </w:r>
          </w:p>
        </w:tc>
        <w:tc>
          <w:tcPr/>
          <w:p>
            <w:r>
              <w:rPr>
                <w:b/>
              </w:rPr>
              <w:t>Назначение и требования</w:t>
            </w:r>
          </w:p>
        </w:tc>
      </w:tr>
      <w:tr>
        <w:tc>
          <w:tcPr/>
          <w:p>
            <w:r>
              <w:t>Опрыскиватель помповый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5–8 л. Один под чистую воду, один под средство. Обязательно подписать</w:t>
            </w:r>
          </w:p>
        </w:tc>
      </w:tr>
      <w:tr>
        <w:tc>
          <w:tcPr/>
          <w:p>
            <w:r>
              <w:t>Бак для воды с краном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50–100 л, в машину. Закрепить, чтобы не гулял по кузову</w:t>
            </w:r>
          </w:p>
        </w:tc>
      </w:tr>
      <w:tr>
        <w:tc>
          <w:tcPr/>
          <w:p>
            <w:r>
              <w:t>Канистры</w:t>
            </w:r>
          </w:p>
        </w:tc>
        <w:tc>
          <w:tcPr/>
          <w:p>
            <w:r>
              <w:t>2–3</w:t>
            </w:r>
          </w:p>
        </w:tc>
        <w:tc>
          <w:tcPr/>
          <w:p>
            <w:r>
              <w:t>По 20 л, запас и удобство переноски к участку</w:t>
            </w:r>
          </w:p>
        </w:tc>
      </w:tr>
      <w:tr>
        <w:tc>
          <w:tcPr/>
          <w:p>
            <w:r>
              <w:t>Вёдра</w:t>
            </w:r>
          </w:p>
        </w:tc>
        <w:tc>
          <w:tcPr/>
          <w:p>
            <w:r>
              <w:t>3–4</w:t>
            </w:r>
          </w:p>
        </w:tc>
        <w:tc>
          <w:tcPr/>
          <w:p>
            <w:r>
              <w:t>Чистая вода, раствор, грязная вода — не смешивать</w:t>
            </w:r>
          </w:p>
        </w:tc>
      </w:tr>
      <w:tr>
        <w:tc>
          <w:tcPr/>
          <w:p>
            <w:r>
              <w:t>Мойка высокого давления</w:t>
            </w:r>
          </w:p>
        </w:tc>
        <w:tc>
          <w:tcPr/>
          <w:p>
            <w:r>
              <w:t>0</w:t>
            </w:r>
          </w:p>
        </w:tc>
        <w:tc>
          <w:tcPr/>
          <w:p>
            <w:r>
              <w:rPr>
                <w:b/>
              </w:rPr>
              <w:t>Не покупаем.</w:t>
            </w:r>
            <w:r>
              <w:t xml:space="preserve"> Вымывает швы, сбивает полировку с мягкого камня</w:t>
            </w:r>
          </w:p>
        </w:tc>
      </w:tr>
    </w:tbl>
    <w:p>
      <w:r>
        <w:t>Запас воды — не перестраховка. Водоснабжение каждое кладбище решает само, и заранее вы не знаете, будет ли вода на конкретном участке. Приехать на глубокую уборку без бака значит сорвать день.</w:t>
      </w:r>
    </w:p>
    <w:p>
      <w:pPr>
        <w:pStyle w:val="Heading3"/>
        <ck:id v="section-14"/>
      </w:pPr>
      <w:bookmarkStart w:id="15" w:name="section_14"/>
      <w:r>
        <w:t>Грунт, растения, мусор</w:t>
      </w:r>
      <w:bookmarkEnd w:id="15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Позиция</w:t>
            </w:r>
          </w:p>
        </w:tc>
        <w:tc>
          <w:tcPr/>
          <w:p>
            <w:r>
              <w:rPr>
                <w:b/>
              </w:rPr>
              <w:t>Кол-во</w:t>
            </w:r>
          </w:p>
        </w:tc>
        <w:tc>
          <w:tcPr/>
          <w:p>
            <w:r>
              <w:rPr>
                <w:b/>
              </w:rPr>
              <w:t>Назначение</w:t>
            </w:r>
          </w:p>
        </w:tc>
      </w:tr>
      <w:tr>
        <w:tc>
          <w:tcPr/>
          <w:p>
            <w:r>
              <w:t>Секатор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Кустарники, сухие ветви</w:t>
            </w:r>
          </w:p>
        </w:tc>
      </w:tr>
      <w:tr>
        <w:tc>
          <w:tcPr/>
          <w:p>
            <w:r>
              <w:t>Садовые ножницы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Трава по краям, живая изгородь</w:t>
            </w:r>
          </w:p>
        </w:tc>
      </w:tr>
      <w:tr>
        <w:tc>
          <w:tcPr/>
          <w:p>
            <w:r>
              <w:t>Грабли малые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Листья, мусор на гравии</w:t>
            </w:r>
          </w:p>
        </w:tc>
      </w:tr>
      <w:tr>
        <w:tc>
          <w:tcPr/>
          <w:p>
            <w:r>
              <w:t>Совок садовый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Подсыпка грунта, посадка</w:t>
            </w:r>
          </w:p>
        </w:tc>
      </w:tr>
      <w:tr>
        <w:tc>
          <w:tcPr/>
          <w:p>
            <w:r>
              <w:t>Метла и совок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Плитка, дорожка</w:t>
            </w:r>
          </w:p>
        </w:tc>
      </w:tr>
      <w:tr>
        <w:tc>
          <w:tcPr/>
          <w:p>
            <w:r>
              <w:t>Мешки для мусора</w:t>
            </w:r>
          </w:p>
        </w:tc>
        <w:tc>
          <w:tcPr/>
          <w:p>
            <w:r>
              <w:t>50</w:t>
            </w:r>
          </w:p>
        </w:tc>
        <w:tc>
          <w:tcPr/>
          <w:p>
            <w:r>
              <w:t>Прочные, 100–120 л. Расход большой, брать с запасом</w:t>
            </w:r>
          </w:p>
        </w:tc>
      </w:tr>
      <w:tr>
        <w:tc>
          <w:tcPr/>
          <w:p>
            <w:r>
              <w:t>Тачка садовая складная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По необходимости — если от парковки до участка далеко</w:t>
            </w:r>
          </w:p>
        </w:tc>
      </w:tr>
    </w:tbl>
    <w:p>
      <w:pPr>
        <w:pStyle w:val="Heading3"/>
        <ck:id v="section-15"/>
      </w:pPr>
      <w:bookmarkStart w:id="16" w:name="section_15"/>
      <w:r>
        <w:t>Защита и безопасность</w:t>
      </w:r>
      <w:bookmarkEnd w:id="16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Позиция</w:t>
            </w:r>
          </w:p>
        </w:tc>
        <w:tc>
          <w:tcPr/>
          <w:p>
            <w:r>
              <w:rPr>
                <w:b/>
              </w:rPr>
              <w:t>Кол-во</w:t>
            </w:r>
          </w:p>
        </w:tc>
        <w:tc>
          <w:tcPr/>
          <w:p>
            <w:r>
              <w:rPr>
                <w:b/>
              </w:rPr>
              <w:t>Назначение</w:t>
            </w:r>
          </w:p>
        </w:tc>
      </w:tr>
      <w:tr>
        <w:tc>
          <w:tcPr/>
          <w:p>
            <w:r>
              <w:t>Перчатки нитриловые</w:t>
            </w:r>
          </w:p>
        </w:tc>
        <w:tc>
          <w:tcPr/>
          <w:p>
            <w:r>
              <w:t>упаковка</w:t>
            </w:r>
          </w:p>
        </w:tc>
        <w:tc>
          <w:tcPr/>
          <w:p>
            <w:r>
              <w:t>Работа с химией</w:t>
            </w:r>
          </w:p>
        </w:tc>
      </w:tr>
      <w:tr>
        <w:tc>
          <w:tcPr/>
          <w:p>
            <w:r>
              <w:t>Перчатки рабочие</w:t>
            </w:r>
          </w:p>
        </w:tc>
        <w:tc>
          <w:tcPr/>
          <w:p>
            <w:r>
              <w:t>6 пар</w:t>
            </w:r>
          </w:p>
        </w:tc>
        <w:tc>
          <w:tcPr/>
          <w:p>
            <w:r>
              <w:t>Всё остальное, по 2 пары на человека</w:t>
            </w:r>
          </w:p>
        </w:tc>
      </w:tr>
      <w:tr>
        <w:tc>
          <w:tcPr/>
          <w:p>
            <w:r>
              <w:t>Очки защитные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Обязательно: при мойке брызги летят в лицо</w:t>
            </w:r>
          </w:p>
        </w:tc>
      </w:tr>
      <w:tr>
        <w:tc>
          <w:tcPr/>
          <w:p>
            <w:r>
              <w:t>Респиратор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При работе с биоцидами</w:t>
            </w:r>
          </w:p>
        </w:tc>
      </w:tr>
      <w:tr>
        <w:tc>
          <w:tcPr/>
          <w:p>
            <w:r>
              <w:t>Наколенники</w:t>
            </w:r>
          </w:p>
        </w:tc>
        <w:tc>
          <w:tcPr/>
          <w:p>
            <w:r>
              <w:t>3</w:t>
            </w:r>
          </w:p>
        </w:tc>
        <w:tc>
          <w:tcPr/>
          <w:p>
            <w:r>
              <w:t>Работа у основания памятника идёт на коленях</w:t>
            </w:r>
          </w:p>
        </w:tc>
      </w:tr>
      <w:tr>
        <w:tc>
          <w:tcPr/>
          <w:p>
            <w:r>
              <w:t>Аптечка</w:t>
            </w:r>
          </w:p>
        </w:tc>
        <w:tc>
          <w:tcPr/>
          <w:p>
            <w:r>
              <w:t>1</w:t>
            </w:r>
          </w:p>
        </w:tc>
        <w:tc>
          <w:tcPr/>
          <w:p>
            <w:r>
              <w:t>В машину</w:t>
            </w:r>
          </w:p>
        </w:tc>
      </w:tr>
    </w:tbl>
    <w:p>
      <w:r>
        <w:t>Средства защиты — не только забота о людях. Юрист отдельным пунктом даст перечень того, что работодатель обязан обеспечить до первого рабочего дня, и они там будут.</w:t>
      </w:r>
    </w:p>
    <w:p>
      <w:pPr>
        <w:pStyle w:val="Heading3"/>
        <ck:id v="section-16"/>
      </w:pPr>
      <w:bookmarkStart w:id="17" w:name="section_16"/>
      <w:r>
        <w:t>Для съёмки отчёта</w:t>
      </w:r>
      <w:bookmarkEnd w:id="17"/>
    </w:p>
    <w:tbl>
      <w:tblPr>
        <w:tblStyle w:val="CkTable"/>
        <w:tblW w:w="0" w:type="auto"/>
        <w:tblLayout w:type="autofit"/>
        <w:tblLook w:firstRow="1" w:lastRow="0" w:firstColumn="0" w:lastColumn="0" w:noHBand="0" w:noVBand="1"/>
      </w:tblPr>
      <w:tblGrid>
        <w:gridCol/>
        <w:gridCol/>
        <w:gridCol/>
      </w:tblGrid>
      <w:tr>
        <w:trPr>
          <w:tblHeader/>
        </w:trPr>
        <w:tc>
          <w:tcPr/>
          <w:p>
            <w:r>
              <w:rPr>
                <w:b/>
              </w:rPr>
              <w:t>Позиция</w:t>
            </w:r>
          </w:p>
        </w:tc>
        <w:tc>
          <w:tcPr/>
          <w:p>
            <w:r>
              <w:rPr>
                <w:b/>
              </w:rPr>
              <w:t>Кол-во</w:t>
            </w:r>
          </w:p>
        </w:tc>
        <w:tc>
          <w:tcPr/>
          <w:p>
            <w:r>
              <w:rPr>
                <w:b/>
              </w:rPr>
              <w:t>Назначение</w:t>
            </w:r>
          </w:p>
        </w:tc>
      </w:tr>
      <w:tr>
        <w:tc>
          <w:tcPr/>
          <w:p>
            <w:r>
              <w:t>Штатив или держатель для телефона</w:t>
            </w:r>
          </w:p>
        </w:tc>
        <w:tc>
          <w:tcPr/>
          <w:p>
            <w:r>
              <w:t>1–2</w:t>
            </w:r>
          </w:p>
        </w:tc>
        <w:tc>
          <w:tcPr/>
          <w:p>
            <w:r>
              <w:t>Ключевая позиция. Протокол требует снимать «после» с тех же точек, что «до». С рук ракурс всегда уезжает, и на отчёте это видно; со штативом пара кадров совпадает идеально — а весь эффект отчёта держится именно на совпадении</w:t>
            </w:r>
          </w:p>
        </w:tc>
      </w:tr>
      <w:tr>
        <w:tc>
          <w:tcPr/>
          <w:p>
            <w:r>
              <w:t>Метки для точек съёмки</w:t>
            </w:r>
          </w:p>
        </w:tc>
        <w:tc>
          <w:tcPr/>
          <w:p>
            <w:r>
              <w:t>—</w:t>
            </w:r>
          </w:p>
        </w:tc>
        <w:tc>
          <w:tcPr/>
          <w:p>
            <w:r>
              <w:t>Колышки, мел или просто фиксация ориентиров, чтобы вернуться в ту же точку</w:t>
            </w:r>
          </w:p>
        </w:tc>
      </w:tr>
      <w:tr>
        <w:tc>
          <w:tcPr/>
          <w:p>
            <w:r>
              <w:t>Повербанк</w:t>
            </w:r>
          </w:p>
        </w:tc>
        <w:tc>
          <w:tcPr/>
          <w:p>
            <w:r>
              <w:t>2</w:t>
            </w:r>
          </w:p>
        </w:tc>
        <w:tc>
          <w:tcPr/>
          <w:p>
            <w:r>
              <w:t>Заряд перед выездом не ниже 80%, а после 8 фото и 2 видео на нескольких участках его не остаётся</w:t>
            </w:r>
          </w:p>
        </w:tc>
      </w:tr>
      <w:tr>
        <w:tc>
          <w:tcPr/>
          <w:p>
            <w:r>
              <w:t>Салфетки для объектива</w:t>
            </w:r>
          </w:p>
        </w:tc>
        <w:tc>
          <w:tcPr/>
          <w:p>
            <w:r>
              <w:t>1 уп.</w:t>
            </w:r>
          </w:p>
        </w:tc>
        <w:tc>
          <w:tcPr/>
          <w:p>
            <w:r>
              <w:t>Пыль и брызги на камере портят кадр незаметно для снимающего</w:t>
            </w:r>
          </w:p>
        </w:tc>
      </w:tr>
    </w:tbl>
    <w:p>
      <w:pPr>
        <w:pStyle w:val="Heading3"/>
        <ck:id v="section-17"/>
      </w:pPr>
      <w:bookmarkStart w:id="18" w:name="section_17"/>
      <w:r>
        <w:t>Хранение и прочее</w:t>
      </w:r>
      <w:bookmarkEnd w:id="18"/>
    </w:p>
    <w:p>
      <w:r>
        <w:t>Ящик или сумка для инструмента, чтобы всё было в одном месте. Стремянка малая — для высоких памятников и верхних ракурсов съёмки. Рулетка. Маркер и бирки для подписи ёмкостей с химией — путаница здесь стоит дорого.</w:t>
      </w:r>
    </w:p>
    <w:p>
      <w:r>
        <w:t xml:space="preserve">И отдельный вопрос, который надо решить до найма: </w:t>
      </w:r>
      <w:r>
        <w:rPr>
          <w:b/>
        </w:rPr>
        <w:t>где инвентарь и машина стоят между сменами.</w:t>
      </w:r>
      <w:r>
        <w:t xml:space="preserve"> Возить всё домой шесть дней в неделю неудобно, оставлять в машине на улице — потерять.</w:t>
      </w:r>
    </w:p>
    <w:p>
      <w:pPr>
        <w:pStyle w:val="Heading3"/>
        <ck:id v="section-18"/>
      </w:pPr>
      <w:bookmarkStart w:id="19" w:name="section_18"/>
      <w:r>
        <w:t>Смета</w:t>
      </w:r>
      <w:bookmarkEnd w:id="19"/>
    </w:p>
    <w:p>
      <w:r>
        <w:t>Ориентир, о котором мы говорили, — от трёхсот до пятисот тысяч драм разово, но проверять надо по факту. В финансовой модели этой строки сейчас нет вовсе. Когда смета будет готова, скажите — внесу отдельной строкой и пересчитаю.</w:t>
      </w:r>
    </w:p>
    <w:p>
      <w:pPr>
        <w:pStyle w:val="Heading2"/>
        <ck:id v="section-19"/>
      </w:pPr>
      <w:bookmarkStart w:id="20" w:name="section_19"/>
      <w:r>
        <w:t>Форма</w:t>
      </w:r>
      <w:bookmarkEnd w:id="20"/>
    </w:p>
    <w:p>
      <w:r>
        <w:t>Футболка или поло, жилет, кепка, рабочие брюки, обувь; отдельно продумать зимний вариант — работаем круглый год. Три человека по два комплекта: один в стирке, второй на человеке, иначе к среде бригада выглядит хуже, чем в понедельник, а мы продаём в том числе аккуратность. Бейдж с именем по протоколу.</w:t>
      </w:r>
    </w:p>
    <w:p>
      <w:r>
        <w:t>Найти, где в Ереване печатают и шьют, уточнить сроки — печать может занять несколько дней.</w:t>
      </w:r>
    </w:p>
    <w:p>
      <w:pPr>
        <w:pStyle w:val="Heading2"/>
        <ck:id v="section-20"/>
      </w:pPr>
      <w:bookmarkStart w:id="21" w:name="section_20"/>
      <w:r>
        <w:t>Транспорт</w:t>
      </w:r>
      <w:bookmarkEnd w:id="21"/>
    </w:p>
    <w:p>
      <w:r>
        <w:t>Форд в аренду на Давида как физлицо, ориентировочно до конца сентября, за рулём Хайк.</w:t>
      </w:r>
    </w:p>
    <w:p>
      <w:r>
        <w:t>Три проверки при подписании (Давид): нет ли в договоре проката запрета на коммерческое использование — он встречается почти всегда, и при ДТП страховая на его основании откажет; вписан ли Хайк как допущенный водитель; сохраняются ли чеки за аренду и топливо для последующей компенсации через бухгалтерию.</w:t>
      </w:r>
    </w:p>
    <w:p>
      <w:r>
        <w:t>Дооснастить: фиксация бака с водой, защита салона, огнетушитель, аптечка.</w:t>
      </w:r>
    </w:p>
    <w:p>
      <w:pPr>
        <w:pStyle w:val="Heading2"/>
        <ck:id v="section-21"/>
      </w:pPr>
      <w:bookmarkStart w:id="22" w:name="section_21"/>
      <w:r>
        <w:t>Карточка кладбища</w:t>
      </w:r>
      <w:bookmarkEnd w:id="22"/>
    </w:p>
    <w:p>
      <w:r>
        <w:t>Вода и вывоз мусора решаются на уровне каждого кладбища. Изучать все заранее не нужно — данные соберутся сами, если добавить их фиксацию в первый визит на новое кладбище, а естественный первый визит у нас это «Զննում».</w:t>
      </w:r>
    </w:p>
    <w:p>
      <w:r>
        <w:t>Фиксировать: есть ли вода, где и платная ли; куда девать мусор; можно ли заезжать машиной и где парковаться; есть ли смотритель и как отнёсся; режим работы; особенности проезда. Через десять-пятнадцать визитов у вас будет справочник по ереванским кладбищам, которого нет ни у кого.</w:t>
      </w:r>
    </w:p>
    <w:p>
      <w:pPr>
        <w:pStyle w:val="Heading2"/>
        <ck:id v="section-22"/>
      </w:pPr>
      <w:bookmarkStart w:id="23" w:name="section_22"/>
      <w:r>
        <w:t>Люди</w:t>
      </w:r>
      <w:bookmarkEnd w:id="23"/>
    </w:p>
    <w:p>
      <w:r>
        <w:rPr>
          <w:b/>
        </w:rPr>
        <w:t>Мастер (Хайк)</w:t>
      </w:r>
      <w:r>
        <w:t xml:space="preserve"> — объявление висит, идут собеседования. Состав бригады на пилот: Хайк, Давид и один наёмный мастер; Хайк за рулём и на отчётах. После пяти-десяти визитов пилота основатели выходят из бригады и нанимается полный состав.</w:t>
      </w:r>
    </w:p>
    <w:p>
      <w:r>
        <w:rPr>
          <w:b/>
        </w:rPr>
        <w:t>Бухгалтер (Хайк)</w:t>
      </w:r>
      <w:r>
        <w:t xml:space="preserve"> — дедлайн двадцатое августа, 50–60 тысяч драм в месяц. Пока не найден. От него в первую неделю нужны: письменная учётная политика по признанию выручки от годовых предоплат, точный расчёт нагрузки на зарплаты вместо заложенного коэффициента, приём архива первички у юриста, оформление возмещения за подписку на софт. Налоговые вопросы — режим, порог НДС, фискальные чеки при оплате картой из-за рубежа — тоже его зона и ждут его выхода.</w:t>
      </w:r>
    </w:p>
    <w:p>
      <w:pPr>
        <w:pStyle w:val="Heading2"/>
        <ck:id v="section-23"/>
      </w:pPr>
      <w:bookmarkStart w:id="24" w:name="section_23"/>
      <w:r>
        <w:t>Подрядчики — что контролируем</w:t>
      </w:r>
      <w:bookmarkEnd w:id="24"/>
    </w:p>
    <w:p>
      <w:r>
        <w:rPr>
          <w:b/>
        </w:rPr>
        <w:t>Дизайнер.</w:t>
      </w:r>
      <w:r>
        <w:t xml:space="preserve"> Файлы приходят четырнадцатого, встреча пятнадцатого, договор подписываем после — схему предложил он сам, предоплаты нет. При подписании проверить пункт о ретроактивном покрытии, чтобы права на присланное до подписи тоже стали нашими.</w:t>
      </w:r>
    </w:p>
    <w:p>
      <w:r>
        <w:rPr>
          <w:b/>
        </w:rPr>
        <w:t>Программисты.</w:t>
      </w:r>
      <w:r>
        <w:t xml:space="preserve"> Пересобранное техническое задание передано: четыре продукта, требования банка как условие приёмки, разрешение клиента отдельным чекбоксом, интеграция заявок с HubSpot. Контракт не подписан — уточнить у Игоря.</w:t>
      </w:r>
    </w:p>
    <w:p>
      <w:r>
        <w:rPr>
          <w:b/>
        </w:rPr>
        <w:t>Договоры от подрядчиков</w:t>
      </w:r>
      <w:r>
        <w:t xml:space="preserve"> приходят от них самих, то есть написаны в их пользу. Юрист проверит. Пять мест, где обычно прячется проблема: права переходят с каждой оплаченной вехи, а не после полной оплаты; исходники в Figma и репозиторий как условие приёмки; ретроактивное покрытие; число включённых итераций правок; порядок расторжения. Отдельно убедиться, что домен memorycare.am и хостинг оформлены на компанию, а не на разработчика.</w:t>
      </w:r>
    </w:p>
    <w:p>
      <w:r>
        <w:rPr>
          <w:b/>
        </w:rPr>
        <w:t>Юрист.</w:t>
      </w:r>
      <w:r>
        <w:t xml:space="preserve"> Полный задачник передан со сроками: шестнадцатого августа трудовые документы, двадцатого короткий договор для пилотных клиентов, двадцать пятого страхование обоих видов и резерв, десятого сентября юридический пакет платформы.</w:t>
      </w:r>
    </w:p>
    <w:p>
      <w:pPr>
        <w:pStyle w:val="Heading2"/>
        <ck:id v="section-24"/>
      </w:pPr>
      <w:bookmarkStart w:id="25" w:name="section_24"/>
      <w:r>
        <w:t>Банк и оплата</w:t>
      </w:r>
      <w:bookmarkEnd w:id="25"/>
    </w:p>
    <w:p>
      <w:r>
        <w:t>Счёт открыт, эквайринг подключается. Дальше последовательность такая: сайт готов около двадцатого сентября → уходит в банк на проверку → банк включает приём карт. Значит первая онлайн-оплата реально в начале октября.</w:t>
      </w:r>
    </w:p>
    <w:p>
      <w:r>
        <w:t>Банк требует от сайта восемь вещей: раздел «О нас», контакты, полное описание услуг, правовые ограничения, реальные цены с валютой, политику конфиденциальности, условия возврата, условия оказания услуги. Это передано разработчикам как условие приёмки — если сайт не пройдёт с первого раза, потеряем недели на переделку.</w:t>
      </w:r>
    </w:p>
    <w:p>
      <w:r>
        <w:rPr>
          <w:b/>
        </w:rPr>
        <w:t>Открытый вопрос:</w:t>
      </w:r>
      <w:r>
        <w:t xml:space="preserve"> как на сентябрьском пилоте берём деньги с диаспорного клиента. Онлайн-оплаты ещё не будет, международный перевод для него дорог и неудобен, а диаспорный кейс нам нужен обязательно. Вариант с родственником в Ереване рассматривается.</w:t>
      </w:r>
    </w:p>
    <w:p>
      <w:pPr>
        <w:pStyle w:val="Heading2"/>
        <ck:id v="section-25"/>
      </w:pPr>
      <w:bookmarkStart w:id="26" w:name="section_25"/>
      <w:r>
        <w:t>Сентябрьский пилот</w:t>
      </w:r>
      <w:bookmarkEnd w:id="26"/>
    </w:p>
    <w:p>
      <w:r>
        <w:t>Пять-десять визитов по полной цене, из них минимум один клиент из диаспоры. Клиенты присматриваются, тёплые контакты есть.</w:t>
      </w:r>
    </w:p>
    <w:p>
      <w:r>
        <w:t>На выходе нужны: три публикуемых кейса, два отзыва, замеренные реальные тайминги и расход материалов.</w:t>
      </w:r>
    </w:p>
    <w:p>
      <w:r>
        <w:t>При выводах держать поправку: тёплые контакты почти не торгуются и не отказывают — они дадут отличные кейсы, но искажённый сигнал по цене. Реакцию на стоимость честнее мерить на холодных.</w:t>
      </w:r>
    </w:p>
    <w:p>
      <w:r>
        <w:rPr>
          <w:b/>
        </w:rPr>
        <w:t>Разбор с Давидом — тридцатого сентября</w:t>
      </w:r>
      <w:r>
        <w:t>, стоит в календаре с полной повесткой: юнит-экономика выезда против модели, маржа Максимума на фактических таймингах, два отложенных решения — «плати после первого отчёта» и роль Экспресса, выход основателей из бригады.</w:t>
      </w:r>
    </w:p>
    <w:p>
      <w:pPr>
        <w:pStyle w:val="Heading2"/>
        <ck:id v="section-26"/>
      </w:pPr>
      <w:bookmarkStart w:id="27" w:name="section_26"/>
      <w:r>
        <w:t>Маркетинг</w:t>
      </w:r>
      <w:bookmarkEnd w:id="27"/>
    </w:p>
    <w:p>
      <w:pPr>
        <w:pStyle w:val="Heading3"/>
        <ck:id v="section-27"/>
      </w:pPr>
      <w:bookmarkStart w:id="28" w:name="section_27"/>
      <w:r>
        <w:t>Профессиональная съёмка</w:t>
      </w:r>
      <w:bookmarkEnd w:id="28"/>
    </w:p>
    <w:p>
      <w:r>
        <w:t>В модели заложено 500 000 драм на контент, разбитые на первые три месяца. Найти фотографа и видеографа с опытом документальной, а не постановочной съёмки; составить задание; назначить съёмочные дни на пилот.</w:t>
      </w:r>
    </w:p>
    <w:p>
      <w:r>
        <w:t>Что снимать: процесс работы, пары «до и после» с фиксированных ракурсов, портреты команды в форме, машину и оборудование.</w:t>
      </w:r>
    </w:p>
    <w:p>
      <w:r>
        <w:rPr>
          <w:b/>
        </w:rPr>
        <w:t>И главный кадр, у которого есть срок годности: основатели сами моют памятники.</w:t>
      </w:r>
      <w:r>
        <w:t xml:space="preserve"> Снять это можно только в сентябре — после пилота вы выходите из бригады, второго шанса не будет. Для диаспоры, которая покупает доверие, а не уборку, такая фотография работает сильнее любого текста.</w:t>
      </w:r>
    </w:p>
    <w:p>
      <w:r>
        <w:t>На выходе: пятнадцать-двадцать обработанных фото, три-пять коротких вертикальных видео, одно видео на минуту-две о компании. Исходники передаются нам как условие приёмки.</w:t>
      </w:r>
    </w:p>
    <w:p>
      <w:r>
        <w:t>Ограничения: чужие могилы и посетители никогда не в кадре; съёмка на участке клиента только с его отдельного письменного согласия, которое готовит юрист.</w:t>
      </w:r>
    </w:p>
    <w:p>
      <w:pPr>
        <w:pStyle w:val="Heading3"/>
        <ck:id v="section-28"/>
      </w:pPr>
      <w:bookmarkStart w:id="29" w:name="section_28"/>
      <w:r>
        <w:t>Тест спроса своими силами</w:t>
      </w:r>
      <w:bookmarkEnd w:id="29"/>
    </w:p>
    <w:p>
      <w:r>
        <w:t>Объявления от частного лица — на list.am и в фейсбук-группах диаспоры. Идея сильная: опросник ловит намерение, объявление ловит поведение.</w:t>
      </w:r>
    </w:p>
    <w:p>
      <w:r>
        <w:rPr>
          <w:b/>
        </w:rPr>
        <w:t>Это два разных теста.</w:t>
      </w:r>
      <w:r>
        <w:t xml:space="preserve"> list.am смотрят живущие в Армении — он проверяет ереванский сегмент. Диаспора там не бывает, она в фейсбуке. Складывать отклики в одну цифру нельзя.</w:t>
      </w:r>
    </w:p>
    <w:p>
      <w:r>
        <w:rPr>
          <w:b/>
        </w:rPr>
        <w:t>Главный риск — ложный отрицательный результат.</w:t>
      </w:r>
      <w:r>
        <w:t xml:space="preserve"> Мы продаём не уборку, а подтверждённую заботу на расстоянии: отчёт с GPS, регулярность, компанию, с которой можно судиться. Частное объявление от незнакомца всего этого лишено. Диаспора может не откликнуться не потому, что спроса нет, а потому что незнакомцу не доверяют память родителей — то есть по причине, которую мы как раз и устраняем брендом.</w:t>
      </w:r>
    </w:p>
    <w:p>
      <w:r>
        <w:rPr>
          <w:b/>
        </w:rPr>
        <w:t>Мерить глубину, а не количество.</w:t>
      </w:r>
      <w:r>
        <w:t xml:space="preserve"> Сколько дошли до вопроса о цене, сколько назвали конкретное кладбище, сколько согласились на сумму и — самое ценное — сколько спросили «а как я узнаю, что вы там были». Последний вопрос прямо подтверждает нашу главную гипотезу. Возражения фиксировать дословно, они лягут в скрипт продаж и в поле «причина отказа» в CRM.</w:t>
      </w:r>
    </w:p>
    <w:p>
      <w:r>
        <w:rPr>
          <w:b/>
        </w:rPr>
        <w:t>Форма подачи.</w:t>
      </w:r>
      <w:r>
        <w:t xml:space="preserve"> На list.am — обычное объявление. В группах диаспоры рекламный текст модераторы снесут за час; там работает пост-история: человек ухаживает за участком своих родителей, знакомые из Штатов попросили посмотреть и их могилы, кому ещё это нужно.</w:t>
      </w:r>
    </w:p>
    <w:p>
      <w:r>
        <w:rPr>
          <w:b/>
        </w:rPr>
        <w:t>Два жёстких ограничения.</w:t>
      </w:r>
      <w:r>
        <w:t xml:space="preserve"> Никаких предоплат — деньги только по факту работы. И честные сроки: если человек хочет услугу сейчас, а мы не готовы, говорим прямо и записываем первым. В теме памяти обманутое ожидание стоит дороже любого лида.</w:t>
      </w:r>
    </w:p>
    <w:p>
      <w:pPr>
        <w:pStyle w:val="Heading3"/>
        <ck:id v="section-29"/>
      </w:pPr>
      <w:bookmarkStart w:id="30" w:name="section_29"/>
      <w:r>
        <w:t>Цены конкурентов</w:t>
      </w:r>
      <w:bookmarkEnd w:id="30"/>
    </w:p>
    <w:p>
      <w:r>
        <w:t>Собрать пять-десять котировок от частников и фирм, запрашивая от своего лица как обычный клиент. Часть звонков уже сделана, разброс оказался большой — это само по себе полезно: там, где нет прозрачной цены, легче продавать не цифру, а понятность. Но нужны крайние точки, самая низкая и самая высокая, иначе непонятно, внутри какого коридора наши шестьдесят тысяч выглядят разумно.</w:t>
      </w:r>
    </w:p>
    <w:p>
      <w:pPr>
        <w:pStyle w:val="Heading3"/>
        <ck:id v="section-30"/>
      </w:pPr>
      <w:bookmarkStart w:id="31" w:name="section_30"/>
      <w:r>
        <w:t>После пилота</w:t>
      </w:r>
      <w:bookmarkEnd w:id="31"/>
    </w:p>
    <w:p>
      <w:r>
        <w:t>Органический засев в диаспорных сообществах — готовые списки и посты, три-четыре сообщества в день, на языке сообщества.</w:t>
      </w:r>
    </w:p>
    <w:p>
      <w:r>
        <w:t>Партнёрская работа: пять писем церквям в Лос-Анджелесе, Марселе и Москве, сети AGBU и диаспорным медиа, цель — одно подтверждённое партнёрство.</w:t>
      </w:r>
    </w:p>
    <w:p>
      <w:r>
        <w:t>Сезонный календарь: Мерелоц, Пасха, Вардавар, двадцать четвёртое апреля, Новый год. Подготовка за три недели до каждой даты.</w:t>
      </w:r>
    </w:p>
    <w:p>
      <w:pPr>
        <w:pStyle w:val="Heading2"/>
        <ck:id v="section-31"/>
      </w:pPr>
      <w:bookmarkStart w:id="32" w:name="section_31"/>
      <w:r>
        <w:t>Регулярное</w:t>
      </w:r>
      <w:bookmarkEnd w:id="32"/>
    </w:p>
    <w:p>
      <w:r>
        <w:rPr>
          <w:b/>
        </w:rPr>
        <w:t>Понедельничный разбор цифр (оба)</w:t>
      </w:r>
      <w:r>
        <w:t xml:space="preserve"> — с момента мягкого запуска: продажи, стоимость привлечения по каналам, загрузка бригады, качество отчётов.</w:t>
      </w:r>
    </w:p>
    <w:p>
      <w:r>
        <w:rPr>
          <w:b/>
        </w:rPr>
        <w:t>HubSpot (Хайк)</w:t>
      </w:r>
      <w:r>
        <w:t xml:space="preserve"> — настроить поля и воронки по инструкции, минут двадцать кликов. После этого CRM веду я.</w:t>
      </w:r>
    </w:p>
    <w:p>
      <w:r>
        <w:rPr>
          <w:b/>
        </w:rPr>
        <w:t>Мониторинг kill-критерия.</w:t>
      </w:r>
      <w:r>
        <w:t xml:space="preserve"> Редакция зафиксирована: точка отсчёта первое сентября, рубеж тридцать первое декабря, порог сорок платящих, в счёт идут только годовые подписки, Զննում не считается. Сверка с Давидом — двенадцатого января, стоит в календаре.</w:t>
      </w:r>
    </w:p>
    <w:p>
      <w:pPr>
        <w:pStyle w:val="Heading2"/>
        <ck:id v="section-32"/>
      </w:pPr>
      <w:bookmarkStart w:id="33" w:name="section_32"/>
      <w:r>
        <w:t>Решения второго года</w:t>
      </w:r>
      <w:bookmarkEnd w:id="33"/>
    </w:p>
    <w:p>
      <w:r>
        <w:t>Оба за Давидом, обсуждать сейчас нечего, но пусть будут в поле зрения: запуск цифрового QR-мемориала и ценовое решение при переходе на НДС в конце второго года — переносить рост налога в цену или поглощать.</w:t>
      </w:r>
    </w:p>
    <w:p>
      <w:pPr>
        <w:pStyle w:val="Heading2"/>
        <ck:id v="section-33"/>
      </w:pPr>
      <w:bookmarkStart w:id="34" w:name="section_33"/>
      <w:r>
        <w:t>Календарь ключевых дат</w:t>
      </w:r>
      <w:bookmarkEnd w:id="34"/>
    </w:p>
    <w:p>
      <w:r>
        <w:rPr>
          <w:b/>
        </w:rPr>
        <w:t>14 августа</w:t>
      </w:r>
      <w:r>
        <w:t xml:space="preserve"> — файлы от дизайнера. </w:t>
      </w:r>
      <w:r>
        <w:rPr>
          <w:b/>
        </w:rPr>
        <w:t>15 августа</w:t>
      </w:r>
      <w:r>
        <w:t xml:space="preserve"> — встреча с дизайнером.</w:t>
      </w:r>
    </w:p>
    <w:p>
      <w:r>
        <w:rPr>
          <w:b/>
        </w:rPr>
        <w:t>16 августа</w:t>
      </w:r>
      <w:r>
        <w:t xml:space="preserve"> — трудовые документы от юриста.</w:t>
      </w:r>
    </w:p>
    <w:p>
      <w:r>
        <w:rPr>
          <w:b/>
        </w:rPr>
        <w:t>17 августа</w:t>
      </w:r>
      <w:r>
        <w:t xml:space="preserve"> — корпоративный номер телефона.</w:t>
      </w:r>
    </w:p>
    <w:p>
      <w:r>
        <w:rPr>
          <w:b/>
        </w:rPr>
        <w:t>17–19 августа</w:t>
      </w:r>
      <w:r>
        <w:t xml:space="preserve"> — репетиционные выезды. Критерий готовности: оба отчёта проходят проверку без замечаний.</w:t>
      </w:r>
    </w:p>
    <w:p>
      <w:r>
        <w:rPr>
          <w:b/>
        </w:rPr>
        <w:t>20 августа</w:t>
      </w:r>
      <w:r>
        <w:t xml:space="preserve"> — бухгалтер нанят; короткий договор для пилотных клиентов готов.</w:t>
      </w:r>
    </w:p>
    <w:p>
      <w:r>
        <w:rPr>
          <w:b/>
        </w:rPr>
        <w:t>25 августа</w:t>
      </w:r>
      <w:r>
        <w:t xml:space="preserve"> — страхование и резерв.</w:t>
      </w:r>
    </w:p>
    <w:p>
      <w:r>
        <w:rPr>
          <w:b/>
        </w:rPr>
        <w:t>1 сентября</w:t>
      </w:r>
      <w:r>
        <w:t xml:space="preserve"> — точка отсчёта kill-критерия.</w:t>
      </w:r>
    </w:p>
    <w:p>
      <w:r>
        <w:rPr>
          <w:b/>
        </w:rPr>
        <w:t>10 сентября</w:t>
      </w:r>
      <w:r>
        <w:t xml:space="preserve"> — юридический пакет платформы.</w:t>
      </w:r>
    </w:p>
    <w:p>
      <w:r>
        <w:rPr>
          <w:b/>
        </w:rPr>
        <w:t>Около 20 сентября</w:t>
      </w:r>
      <w:r>
        <w:t xml:space="preserve"> — готовность платформы, подача сайта в банк.</w:t>
      </w:r>
    </w:p>
    <w:p>
      <w:r>
        <w:rPr>
          <w:b/>
        </w:rPr>
        <w:t>30 сентября</w:t>
      </w:r>
      <w:r>
        <w:t xml:space="preserve"> — разбор пилота с Давидом.</w:t>
      </w:r>
    </w:p>
    <w:p>
      <w:r>
        <w:rPr>
          <w:b/>
        </w:rPr>
        <w:t>Начало октября</w:t>
      </w:r>
      <w:r>
        <w:t xml:space="preserve"> — ожидаемое включение приёма карт.</w:t>
      </w:r>
    </w:p>
    <w:p>
      <w:r>
        <w:rPr>
          <w:b/>
        </w:rPr>
        <w:t>31 декабря</w:t>
      </w:r>
      <w:r>
        <w:t xml:space="preserve"> — рубеж kill-критерия. </w:t>
      </w:r>
      <w:r>
        <w:rPr>
          <w:b/>
        </w:rPr>
        <w:t>12 января</w:t>
      </w:r>
      <w:r>
        <w:t xml:space="preserve"> — сверка.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family w:val="swiss"/>
  </w:font>
  <w:font w:name="Calibri Light">
    <w:family w:val="swiss"/>
  </w:font>
  <w:font w:name="Consolas">
    <w:family w:val="modern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1."/>
      <w:lvlJc w:val="left"/>
      <w:pPr>
        <w:ind w:left="2880" w:hanging="360"/>
      </w:pPr>
    </w:lvl>
    <w:lvl w:ilvl="4">
      <w:start w:val="1"/>
      <w:numFmt w:val="decimal"/>
      <w:lvlText w:val="%2."/>
      <w:lvlJc w:val="left"/>
      <w:pPr>
        <w:ind w:left="3600" w:hanging="360"/>
      </w:pPr>
    </w:lvl>
    <w:lvl w:ilvl="5">
      <w:start w:val="1"/>
      <w:numFmt w:val="decimal"/>
      <w:lvlText w:val="%3."/>
      <w:lvlJc w:val="left"/>
      <w:pPr>
        <w:ind w:left="4320" w:hanging="360"/>
      </w:pPr>
    </w:lvl>
    <w:lvl w:ilvl="6">
      <w:start w:val="1"/>
      <w:numFmt w:val="decimal"/>
      <w:lvlText w:val="%1."/>
      <w:lvlJc w:val="left"/>
      <w:pPr>
        <w:ind w:left="5040" w:hanging="360"/>
      </w:pPr>
    </w:lvl>
    <w:lvl w:ilvl="7">
      <w:start w:val="1"/>
      <w:numFmt w:val="decimal"/>
      <w:lvlText w:val="%2."/>
      <w:lvlJc w:val="left"/>
      <w:pPr>
        <w:ind w:left="5760" w:hanging="360"/>
      </w:pPr>
    </w:lvl>
    <w:lvl w:ilvl="8">
      <w:start w:val="1"/>
      <w:numFmt w:val="decimal"/>
      <w:lvlText w:val="%3.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☐"/>
      <w:lvlJc w:val="left"/>
      <w:pPr>
        <w:ind w:left="720" w:hanging="360"/>
      </w:pPr>
    </w:lvl>
    <w:lvl w:ilvl="1">
      <w:start w:val="1"/>
      <w:numFmt w:val="bullet"/>
      <w:lvlText w:val="☐"/>
      <w:lvlJc w:val="left"/>
      <w:pPr>
        <w:ind w:left="1440" w:hanging="360"/>
      </w:pPr>
    </w:lvl>
    <w:lvl w:ilvl="2">
      <w:start w:val="1"/>
      <w:numFmt w:val="bullet"/>
      <w:lvlText w:val="☐"/>
      <w:lvlJc w:val="left"/>
      <w:pPr>
        <w:ind w:left="2160" w:hanging="360"/>
      </w:pPr>
    </w:lvl>
    <w:lvl w:ilvl="3">
      <w:start w:val="1"/>
      <w:numFmt w:val="bullet"/>
      <w:lvlText w:val="☐"/>
      <w:lvlJc w:val="left"/>
      <w:pPr>
        <w:ind w:left="2880" w:hanging="360"/>
      </w:pPr>
    </w:lvl>
    <w:lvl w:ilvl="4">
      <w:start w:val="1"/>
      <w:numFmt w:val="bullet"/>
      <w:lvlText w:val="☐"/>
      <w:lvlJc w:val="left"/>
      <w:pPr>
        <w:ind w:left="3600" w:hanging="360"/>
      </w:pPr>
    </w:lvl>
    <w:lvl w:ilvl="5">
      <w:start w:val="1"/>
      <w:numFmt w:val="bullet"/>
      <w:lvlText w:val="☐"/>
      <w:lvlJc w:val="left"/>
      <w:pPr>
        <w:ind w:left="4320" w:hanging="360"/>
      </w:pPr>
    </w:lvl>
    <w:lvl w:ilvl="6">
      <w:start w:val="1"/>
      <w:numFmt w:val="bullet"/>
      <w:lvlText w:val="☐"/>
      <w:lvlJc w:val="left"/>
      <w:pPr>
        <w:ind w:left="5040" w:hanging="360"/>
      </w:pPr>
    </w:lvl>
    <w:lvl w:ilvl="7">
      <w:start w:val="1"/>
      <w:numFmt w:val="bullet"/>
      <w:lvlText w:val="☐"/>
      <w:lvlJc w:val="left"/>
      <w:pPr>
        <w:ind w:left="5760" w:hanging="360"/>
      </w:pPr>
    </w:lvl>
    <w:lvl w:ilvl="8">
      <w:start w:val="1"/>
      <w:numFmt w:val="bullet"/>
      <w:lvlText w:val="☐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☑"/>
      <w:lvlJc w:val="left"/>
      <w:pPr>
        <w:ind w:left="720" w:hanging="360"/>
      </w:pPr>
    </w:lvl>
    <w:lvl w:ilvl="1">
      <w:start w:val="1"/>
      <w:numFmt w:val="bullet"/>
      <w:lvlText w:val="☑"/>
      <w:lvlJc w:val="left"/>
      <w:pPr>
        <w:ind w:left="1440" w:hanging="360"/>
      </w:pPr>
    </w:lvl>
    <w:lvl w:ilvl="2">
      <w:start w:val="1"/>
      <w:numFmt w:val="bullet"/>
      <w:lvlText w:val="☑"/>
      <w:lvlJc w:val="left"/>
      <w:pPr>
        <w:ind w:left="2160" w:hanging="360"/>
      </w:pPr>
    </w:lvl>
    <w:lvl w:ilvl="3">
      <w:start w:val="1"/>
      <w:numFmt w:val="bullet"/>
      <w:lvlText w:val="☑"/>
      <w:lvlJc w:val="left"/>
      <w:pPr>
        <w:ind w:left="2880" w:hanging="360"/>
      </w:pPr>
    </w:lvl>
    <w:lvl w:ilvl="4">
      <w:start w:val="1"/>
      <w:numFmt w:val="bullet"/>
      <w:lvlText w:val="☑"/>
      <w:lvlJc w:val="left"/>
      <w:pPr>
        <w:ind w:left="3600" w:hanging="360"/>
      </w:pPr>
    </w:lvl>
    <w:lvl w:ilvl="5">
      <w:start w:val="1"/>
      <w:numFmt w:val="bullet"/>
      <w:lvlText w:val="☑"/>
      <w:lvlJc w:val="left"/>
      <w:pPr>
        <w:ind w:left="4320" w:hanging="360"/>
      </w:pPr>
    </w:lvl>
    <w:lvl w:ilvl="6">
      <w:start w:val="1"/>
      <w:numFmt w:val="bullet"/>
      <w:lvlText w:val="☑"/>
      <w:lvlJc w:val="left"/>
      <w:pPr>
        <w:ind w:left="5040" w:hanging="360"/>
      </w:pPr>
    </w:lvl>
    <w:lvl w:ilvl="7">
      <w:start w:val="1"/>
      <w:numFmt w:val="bullet"/>
      <w:lvlText w:val="☑"/>
      <w:lvlJc w:val="left"/>
      <w:pPr>
        <w:ind w:left="5760" w:hanging="360"/>
      </w:pPr>
    </w:lvl>
    <w:lvl w:ilvl="8">
      <w:start w:val="1"/>
      <w:numFmt w:val="bullet"/>
      <w:lvlText w:val="☑"/>
      <w:lvlJc w:val="left"/>
      <w:pPr>
        <w:ind w:left="6480" w:hanging="360"/>
      </w:pPr>
    </w:lvl>
  </w:abstractNum>
</w:numbering>
</file>

<file path=word/settings.xml><?xml version="1.0" encoding="utf-8"?>
<w:settings xmlns:w="http://schemas.openxmlformats.org/wordprocessingml/2006/main">
  <w:defaultTabStop w:val="72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en-US"/>
      </w:rPr>
    </w:rPrDefault>
    <w:pPrDefault>
      <w:pPr>
        <w:spacing w:after="160" w:line="312" w:lineRule="auto"/>
      </w:pPr>
    </w:pPrDefault>
  </w:docDefaults>
  <w:style w:type="paragraph" w:styleId="Normal" w:default="1">
    <w:name w:val="Normal"/>
  </w:style>
  <w:style w:type="paragraph" w:styleId="Heading1" w:default="0">
    <w:name w:val="heading 1"/>
    <w:basedOn w:val="Normal"/>
    <w:next w:val="Normal"/>
    <w:pPr>
      <w:keepNext/>
      <w:keepLines/>
      <w:spacing w:before="320" w:line="264" w:lineRule="auto"/>
      <w:outlineLvl w:val="0"/>
    </w:pPr>
    <w:rPr>
      <w:rFonts w:ascii="Calibri Light" w:hAnsi="Calibri Light"/>
      <w:b/>
      <w:color w:val="1A1A1A"/>
      <w:sz w:val="43"/>
      <w:szCs w:val="43"/>
    </w:rPr>
  </w:style>
  <w:style w:type="paragraph" w:styleId="Heading2" w:default="0">
    <w:name w:val="heading 2"/>
    <w:basedOn w:val="Normal"/>
    <w:next w:val="Normal"/>
    <w:pPr>
      <w:keepNext/>
      <w:keepLines/>
      <w:spacing w:before="320" w:line="264" w:lineRule="auto"/>
      <w:outlineLvl w:val="1"/>
    </w:pPr>
    <w:rPr>
      <w:rFonts w:ascii="Calibri Light" w:hAnsi="Calibri Light"/>
      <w:b/>
      <w:sz w:val="34"/>
      <w:szCs w:val="34"/>
    </w:rPr>
  </w:style>
  <w:style w:type="paragraph" w:styleId="Heading3" w:default="0">
    <w:name w:val="heading 3"/>
    <w:basedOn w:val="Normal"/>
    <w:next w:val="Normal"/>
    <w:pPr>
      <w:keepNext/>
      <w:keepLines/>
      <w:spacing w:before="160" w:line="264" w:lineRule="auto"/>
      <w:outlineLvl w:val="2"/>
    </w:pPr>
    <w:rPr>
      <w:rFonts w:ascii="Calibri Light" w:hAnsi="Calibri Light"/>
      <w:b/>
      <w:sz w:val="28"/>
      <w:szCs w:val="28"/>
    </w:rPr>
  </w:style>
  <w:style w:type="paragraph" w:styleId="Heading4" w:default="0">
    <w:name w:val="heading 4"/>
    <w:basedOn w:val="Normal"/>
    <w:next w:val="Normal"/>
    <w:pPr>
      <w:keepNext/>
      <w:keepLines/>
      <w:spacing w:before="160" w:line="264" w:lineRule="auto"/>
      <w:outlineLvl w:val="3"/>
    </w:pPr>
    <w:rPr>
      <w:rFonts w:ascii="Calibri Light" w:hAnsi="Calibri Light"/>
      <w:b/>
      <w:sz w:val="22"/>
      <w:szCs w:val="22"/>
    </w:rPr>
  </w:style>
  <w:style w:type="paragraph" w:styleId="Heading5" w:default="0">
    <w:name w:val="heading 5"/>
    <w:basedOn w:val="Normal"/>
    <w:next w:val="Normal"/>
    <w:pPr>
      <w:keepNext/>
      <w:keepLines/>
      <w:spacing w:before="160" w:line="264" w:lineRule="auto"/>
      <w:outlineLvl w:val="4"/>
    </w:pPr>
    <w:rPr>
      <w:rFonts w:ascii="Calibri Light" w:hAnsi="Calibri Light"/>
      <w:b/>
      <w:sz w:val="22"/>
      <w:szCs w:val="22"/>
    </w:rPr>
  </w:style>
  <w:style w:type="paragraph" w:styleId="Heading6" w:default="0">
    <w:name w:val="heading 6"/>
    <w:basedOn w:val="Normal"/>
    <w:next w:val="Normal"/>
    <w:pPr>
      <w:keepNext/>
      <w:keepLines/>
      <w:spacing w:before="160" w:line="264" w:lineRule="auto"/>
      <w:outlineLvl w:val="5"/>
    </w:pPr>
    <w:rPr>
      <w:rFonts w:ascii="Calibri Light" w:hAnsi="Calibri Light"/>
      <w:b/>
      <w:sz w:val="22"/>
      <w:szCs w:val="22"/>
    </w:rPr>
  </w:style>
  <w:style w:type="paragraph" w:styleId="Quote" w:default="0">
    <w:name w:val="Quote"/>
    <w:basedOn w:val="Normal"/>
    <w:pPr>
      <w:ind w:left="320"/>
      <w:pBdr>
        <w:left w:val="single" w:sz="24" w:space="12" w:color="BFBFBF"/>
      </w:pBdr>
    </w:pPr>
    <w:rPr>
      <w:i/>
      <w:color w:val="595959"/>
    </w:rPr>
  </w:style>
  <w:style w:type="character" w:styleId="CkHighlight">
    <w:name w:val="Clarkdown Highlight"/>
    <w:rPr>
      <w:shd w:val="clear" w:fill="FFF2A8"/>
    </w:rPr>
  </w:style>
  <w:style w:type="character" w:styleId="CkSmallcaps">
    <w:name w:val="Clarkdown Smallcaps"/>
    <w:rPr>
      <w:smallCaps/>
    </w:rPr>
  </w:style>
  <w:style w:type="character" w:styleId="CkUnderline">
    <w:name w:val="Clarkdown Underline"/>
    <w:rPr>
      <w:u w:val="single"/>
    </w:rPr>
  </w:style>
  <w:style w:type="character" w:styleId="CkMuted">
    <w:name w:val="Clarkdown Muted"/>
    <w:rPr>
      <w:color w:val="595959"/>
    </w:rPr>
  </w:style>
  <w:style w:type="character" w:styleId="CkAccent">
    <w:name w:val="Clarkdown Accent"/>
    <w:rPr>
      <w:color w:val="1A1A1A"/>
    </w:rPr>
  </w:style>
  <w:style w:type="character" w:styleId="CkCaption">
    <w:name w:val="Clarkdown Caption"/>
    <w:rPr>
      <w:i/>
      <w:color w:val="595959"/>
      <w:sz w:val="20"/>
      <w:szCs w:val="20"/>
    </w:rPr>
  </w:style>
  <w:style w:type="paragraph" w:styleId="CkDisplay" w:default="0">
    <w:name w:val="Clarkdown Display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color w:val="1A1A1A"/>
      <w:sz w:val="132"/>
      <w:szCs w:val="132"/>
    </w:rPr>
  </w:style>
  <w:style w:type="character" w:styleId="CkKicker">
    <w:name w:val="Clarkdown Kicker"/>
    <w:rPr>
      <w:smallCaps/>
      <w:spacing w:val="18"/>
      <w:color w:val="595959"/>
    </w:rPr>
  </w:style>
  <w:style w:type="paragraph" w:styleId="CkTrackedCaps" w:default="0">
    <w:name w:val="Clarkdown Tracked Caps"/>
    <w:basedOn w:val="Normal"/>
    <w:next w:val="Normal"/>
    <w:rPr>
      <w:smallCaps/>
      <w:spacing w:val="18"/>
    </w:rPr>
  </w:style>
  <w:style w:type="paragraph" w:styleId="Title" w:default="0">
    <w:name w:val="Title"/>
    <w:basedOn w:val="Normal"/>
    <w:next w:val="Normal"/>
    <w:pPr>
      <w:keepNext/>
      <w:keepLines/>
      <w:spacing w:after="240" w:line="264" w:lineRule="auto"/>
    </w:pPr>
    <w:rPr>
      <w:rFonts w:ascii="Calibri Light" w:hAnsi="Calibri Light"/>
      <w:b/>
      <w:sz w:val="54"/>
      <w:szCs w:val="54"/>
    </w:rPr>
  </w:style>
  <w:style w:type="character" w:styleId="Hyperlink">
    <w:name w:val="Hyperlink"/>
    <w:rPr>
      <w:color w:val="1A1A1A"/>
      <w:u w:val="single"/>
    </w:rPr>
  </w:style>
  <w:style w:type="paragraph" w:styleId="CkCodeBlock" w:default="0">
    <w:name w:val="Clarkdown Code Block"/>
    <w:basedOn w:val="Normal"/>
    <w:pPr>
      <w:shd w:val="clear" w:fill="EDEDED"/>
      <w:spacing w:after="0" w:line="240" w:lineRule="auto"/>
    </w:pPr>
    <w:rPr>
      <w:rFonts w:ascii="Consolas" w:hAnsi="Consolas"/>
      <w:noProof/>
      <w:sz w:val="20"/>
    </w:rPr>
  </w:style>
  <w:style w:type="character" w:styleId="CkCode">
    <w:name w:val="Clarkdown Code"/>
    <w:rPr>
      <w:rFonts w:ascii="Consolas" w:hAnsi="Consolas"/>
      <w:shd w:val="clear" w:fill="EDEDED"/>
      <w:sz w:val="20"/>
    </w:rPr>
  </w:style>
  <w:style w:type="paragraph" w:styleId="Caption" w:default="0">
    <w:name w:val="caption"/>
    <w:basedOn w:val="Normal"/>
    <w:rPr>
      <w:i/>
      <w:sz w:val="18"/>
    </w:rPr>
  </w:style>
  <w:style w:type="paragraph" w:styleId="ListParagraph" w:default="0">
    <w:name w:val="List Paragraph"/>
    <w:basedOn w:val="Normal"/>
    <w:pPr>
      <w:ind w:left="320"/>
    </w:pPr>
  </w:style>
  <w:style w:type="paragraph" w:styleId="CkUnknown" w:default="0">
    <w:name w:val="Clarkdown Unknown"/>
    <w:basedOn w:val="Normal"/>
    <w:pPr>
      <w:shd w:val="clear" w:fill="FFEEEE"/>
    </w:pPr>
  </w:style>
  <w:style w:type="paragraph" w:styleId="FootnoteText" w:default="0">
    <w:name w:val="footnote text"/>
    <w:basedOn w:val="Normal"/>
    <w:rPr>
      <w:sz w:val="18"/>
    </w:rPr>
  </w:style>
  <w:style w:type="character" w:styleId="FootnoteReference">
    <w:name w:val="footnote reference"/>
    <w:rPr>
      <w:vertAlign w:val="superscript"/>
    </w:rPr>
  </w:style>
  <w:style w:type="table" w:styleId="CkTable">
    <w:name w:val="Clarkdown Table"/>
    <w:tblPr>
      <w:tblBorders>
        <w:top w:val="single" w:sz="4" w:color="BFBFBF"/>
        <w:left w:val="single" w:sz="4" w:color="BFBFBF"/>
        <w:bottom w:val="single" w:sz="4" w:color="BFBFBF"/>
        <w:right w:val="single" w:sz="4" w:color="BFBFBF"/>
        <w:insideH w:val="single" w:sz="4" w:color="BFBFBF"/>
        <w:insideV w:val="single" w:sz="4" w:color="BFBFBF"/>
      </w:tblBorders>
      <w:tblCellMar>
        <w:top w:w="80" w:type="dxa"/>
        <w:left w:w="80" w:type="dxa"/>
        <w:bottom w:w="80" w:type="dxa"/>
        <w:right w:w="80" w:type="dxa"/>
      </w:tblCellMar>
    </w:tblPr>
  </w:style>
  <w:style w:type="table" w:styleId="CkLayout">
    <w:name w:val="Clarkdown Layout"/>
    <w:tblPr>
      <w:tblBorders>
        <w:top w:val="none"/>
        <w:left w:val="none"/>
        <w:bottom w:val="none"/>
        <w:right w:val="none"/>
        <w:insideH w:val="none"/>
        <w:insideV w:val="none"/>
      </w:tblBorders>
    </w:tblPr>
  </w:style>
  <w:style w:type="paragraph" w:styleId="CkNote" w:default="0">
    <w:name w:val="Clarkdown Note"/>
    <w:basedOn w:val="Normal"/>
    <w:pPr>
      <w:pBdr>
        <w:left w:val="single" w:sz="24" w:space="8" w:color="2F6FEB"/>
      </w:pBdr>
      <w:ind w:left="240"/>
    </w:pPr>
  </w:style>
  <w:style w:type="paragraph" w:styleId="CkTip" w:default="0">
    <w:name w:val="Clarkdown Tip"/>
    <w:basedOn w:val="Normal"/>
    <w:pPr>
      <w:pBdr>
        <w:left w:val="single" w:sz="24" w:space="8" w:color="1A7F37"/>
      </w:pBdr>
      <w:ind w:left="240"/>
    </w:pPr>
  </w:style>
  <w:style w:type="paragraph" w:styleId="CkWarning" w:default="0">
    <w:name w:val="Clarkdown Warning"/>
    <w:basedOn w:val="Normal"/>
    <w:pPr>
      <w:pBdr>
        <w:left w:val="single" w:sz="24" w:space="8" w:color="9A6700"/>
      </w:pBdr>
      <w:ind w:left="240"/>
    </w:pPr>
  </w:style>
  <w:style w:type="paragraph" w:styleId="CkImportant" w:default="0">
    <w:name w:val="Clarkdown Important"/>
    <w:basedOn w:val="Normal"/>
    <w:pPr>
      <w:pBdr>
        <w:left w:val="single" w:sz="24" w:space="8" w:color="8250DF"/>
      </w:pBdr>
      <w:ind w:left="240"/>
    </w:pPr>
  </w:style>
  <w:style w:type="paragraph" w:styleId="CkCaution" w:default="0">
    <w:name w:val="Clarkdown Caution"/>
    <w:basedOn w:val="Normal"/>
    <w:pPr>
      <w:pBdr>
        <w:left w:val="single" w:sz="24" w:space="8" w:color="CF222E"/>
      </w:pBdr>
      <w:ind w:left="240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Fonts" Type="http://schemas.openxmlformats.org/officeDocument/2006/relationships/fontTable" Target="fontTable.xml"/><Relationship Id="rIdSettings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