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Замечания к договору на разработку платформы</w:t>
      </w:r>
      <w:bookmarkEnd w:id="0"/>
    </w:p>
    <w:p>
      <w:r>
        <w:t>MemoryCare LLC · 11 августа 2026 · для юриста</w:t>
      </w:r>
    </w:p>
    <w:p>
      <w:r>
        <w:t>Исполнитель прислал типовой договор — образец N 17052026 от 17 мая 2026 года между ИП Игорь Макян и ООО «Витромед» на создание веб-сайта. Ниже замечания по этому тексту и предложения по формулировкам. Просьба оформить их дополнительным соглашением либо внести правки в текст договора до подписания.</w:t>
      </w:r>
    </w:p>
    <w:p>
      <w:r>
        <w:rPr>
          <w:b/>
        </w:rPr>
        <w:t>Главное замечание, которое определяет всё остальное.</w:t>
      </w:r>
      <w:r>
        <w:t xml:space="preserve"> Приложение N 1 к образцу описывает обычный сайт-визитку: информационные страницы, блоки, категории, блог, меню, форма обратной связи. В нём отсутствуют приём оплаты банковскими картами, личный кабинет клиента, загрузка фото и видео с фиксацией GPS, роли пользователей, операционная консоль и отчётность. Между тем предмет нашего заказа — именно платформа с этими функциями, стоимостью 1 200 000 драм. </w:t>
      </w:r>
      <w:r>
        <w:rPr>
          <w:b/>
        </w:rPr>
        <w:t>Приложение N 1 подлежит замене целиком</w:t>
      </w:r>
      <w:r>
        <w:t>; техническое задание версии 2.0 подготовлено и будет передано отдельно.</w:t>
      </w:r>
    </w:p>
    <w:p>
      <w:r>
        <w:t>Замечания сгруппированы по степени критичности.</w:t>
      </w:r>
    </w:p>
    <w:p>
      <w:pPr>
        <w:pStyle w:val="Heading2"/>
        <ck:id v="1"/>
      </w:pPr>
      <w:bookmarkStart w:id="1" w:name="_1"/>
      <w:r>
        <w:t>Блок 1. Критичные — без них подписывать нельзя</w:t>
      </w:r>
      <w:bookmarkEnd w:id="1"/>
    </w:p>
    <w:p>
      <w:pPr>
        <w:pStyle w:val="Heading3"/>
        <ck:id v="11"/>
      </w:pPr>
      <w:bookmarkStart w:id="2" w:name="_11"/>
      <w:r>
        <w:t>1.1. Права на результат работ</w:t>
      </w:r>
      <w:bookmarkEnd w:id="2"/>
    </w:p>
    <w:p>
      <w:r>
        <w:rPr>
          <w:b/>
        </w:rPr>
        <w:t>Как сейчас.</w:t>
      </w:r>
      <w:r>
        <w:t xml:space="preserve"> Пункт 6.1: «Исполнитель сохраняет авторские права на создание Сайта». Пункт 6.2: право собственности на Сайт переходит Заказчику после подписания акта и полной оплаты.</w:t>
      </w:r>
    </w:p>
    <w:p>
      <w:r>
        <w:rPr>
          <w:b/>
        </w:rPr>
        <w:t>В чём проблема.</w:t>
      </w:r>
      <w:r>
        <w:t xml:space="preserve"> Право собственности на экземпляр и исключительное авторское право — разные категории. В нынешней редакции Заказчик, полностью оплатив работы, не приобретает права перерабатывать произведение, передавать его третьим лицам и распоряжаться им иным образом. Практически это означает невозможность привлечь другого разработчика к доработке платформы и невозможность передать платформу при продаже бизнеса или привлечении инвестора.</w:t>
      </w:r>
    </w:p>
    <w:p>
      <w:r>
        <w:rPr>
          <w:b/>
        </w:rPr>
        <w:t>Что предлагаем закрепить.</w:t>
      </w:r>
      <w:r>
        <w:t xml:space="preserve"> Исполнитель передаёт Заказчику исключительные права на все результаты работ в полном объёме — на программный код, дизайн, графические элементы и структуру базы данных, — на весь срок действия исключительного права, на территории всех стран мира, для использования любыми способами, включая переработку, модификацию, воспроизведение и передачу третьим лицам. Исключительные права переходят </w:t>
      </w:r>
      <w:r>
        <w:rPr>
          <w:b/>
        </w:rPr>
        <w:t>по каждому оплаченному этапу работ</w:t>
      </w:r>
      <w:r>
        <w:t>, а не только после полной оплаты договора. Вознаграждение за передачу прав включено в цену договора и дополнительной оплате не подлежит. Исполнитель не сохраняет за собой имущественных авторских прав на результаты работ.</w:t>
      </w:r>
    </w:p>
    <w:p>
      <w:pPr>
        <w:pStyle w:val="Heading3"/>
        <ck:id v="12"/>
      </w:pPr>
      <w:bookmarkStart w:id="3" w:name="_12"/>
      <w:r>
        <w:t>1.2. Ограничение на использование системы управления</w:t>
      </w:r>
      <w:bookmarkEnd w:id="3"/>
    </w:p>
    <w:p>
      <w:r>
        <w:rPr>
          <w:b/>
        </w:rPr>
        <w:t>Как сейчас.</w:t>
      </w:r>
      <w:r>
        <w:t xml:space="preserve"> Пункт 2.2.3 запрещает Заказчику использовать систему управления содержимым сайта для создания и управления более чем одним ресурсом без разрешения Исполнителя.</w:t>
      </w:r>
    </w:p>
    <w:p>
      <w:r>
        <w:rPr>
          <w:b/>
        </w:rPr>
        <w:t>В чём проблема.</w:t>
      </w:r>
      <w:r>
        <w:t xml:space="preserve"> Это подтверждает, что Заказчик приобретает не продукт, а лицензию на один ресурс. Создание отдельного лендинга или второго сайта потребует согласия Исполнителя, то есть станет предметом отдельной оплаты.</w:t>
      </w:r>
    </w:p>
    <w:p>
      <w:r>
        <w:rPr>
          <w:b/>
        </w:rPr>
        <w:t>Что предлагаем.</w:t>
      </w:r>
      <w:r>
        <w:t xml:space="preserve"> Пункт исключить. Взамен закрепить: Заказчик вправе использовать переданное программное обеспечение для неограниченного числа собственных ресурсов без дополнительного согласования и оплаты.</w:t>
      </w:r>
    </w:p>
    <w:p>
      <w:pPr>
        <w:pStyle w:val="Heading3"/>
        <ck:id v="13"/>
      </w:pPr>
      <w:bookmarkStart w:id="4" w:name="_13"/>
      <w:r>
        <w:t>1.3. Передача исходного кода</w:t>
      </w:r>
      <w:bookmarkEnd w:id="4"/>
    </w:p>
    <w:p>
      <w:r>
        <w:rPr>
          <w:b/>
        </w:rPr>
        <w:t>Как сейчас.</w:t>
      </w:r>
      <w:r>
        <w:t xml:space="preserve"> В договоре и приложении отсутствуют какие-либо положения о передаче исходного кода, репозитория и технической документации.</w:t>
      </w:r>
    </w:p>
    <w:p>
      <w:r>
        <w:rPr>
          <w:b/>
        </w:rPr>
        <w:t>Что предлагаем закрепить.</w:t>
      </w:r>
      <w:r>
        <w:t xml:space="preserve"> Условием приёмки каждого этапа является передача Заказчику полного исходного кода в репозиторий системы контроля версий, принадлежащий Заказчику, с полной историей изменений, а также передача технической документации, схемы базы данных, инструкций по развёртыванию и всех учётных данных доступа к используемым сервисам. Акт приёмки не подписывается до исполнения этого условия.</w:t>
      </w:r>
    </w:p>
    <w:p>
      <w:pPr>
        <w:pStyle w:val="Heading3"/>
        <ck:id v="14"/>
      </w:pPr>
      <w:bookmarkStart w:id="5" w:name="_14"/>
      <w:r>
        <w:t>1.4. Срок выполнения работ</w:t>
      </w:r>
      <w:bookmarkEnd w:id="5"/>
    </w:p>
    <w:p>
      <w:r>
        <w:rPr>
          <w:b/>
        </w:rPr>
        <w:t>Как сейчас.</w:t>
      </w:r>
      <w:r>
        <w:t xml:space="preserve"> Пункт 4.2: работы завершаются в течение 2 рабочих дней после перевода суммы, указанной в пункте 3.1.</w:t>
      </w:r>
    </w:p>
    <w:p>
      <w:r>
        <w:rPr>
          <w:b/>
        </w:rPr>
        <w:t>В чём проблема.</w:t>
      </w:r>
      <w:r>
        <w:t xml:space="preserve"> Срок привязан к моменту оплаты, а не к объёму работ, и фактически не определён. Календарной даты завершения в договоре нет. Согласованный сторонами ориентир — около 45 дней — в тексте не отражён.</w:t>
      </w:r>
    </w:p>
    <w:p>
      <w:r>
        <w:rPr>
          <w:b/>
        </w:rPr>
        <w:t>Что предлагаем.</w:t>
      </w:r>
      <w:r>
        <w:t xml:space="preserve"> Установить календарный срок: работы выполняются в течение 45 рабочих дней с даты подписания договора. Определить промежуточные этапы с датами: первый этап — базовая структура и страницы, второй — личный кабинет и отчётность, третий — приём платежей и интеграции, четвёртый — сдача и запуск. По каждому этапу — свой акт и своя доля оплаты.</w:t>
      </w:r>
    </w:p>
    <w:p>
      <w:pPr>
        <w:pStyle w:val="Heading3"/>
        <ck:id v="15"/>
      </w:pPr>
      <w:bookmarkStart w:id="6" w:name="_15"/>
      <w:r>
        <w:t>1.5. Порядок приёмки</w:t>
      </w:r>
      <w:bookmarkEnd w:id="6"/>
    </w:p>
    <w:p>
      <w:r>
        <w:rPr>
          <w:b/>
        </w:rPr>
        <w:t>Как сейчас.</w:t>
      </w:r>
      <w:r>
        <w:t xml:space="preserve"> Пункт 4.3: Заказчик подтверждает завершение работ подписанием акта в течение 2 рабочих дней либо приводит обоснования; при бездействии в этот срок работы считаются завершёнными без подписания акта.</w:t>
      </w:r>
    </w:p>
    <w:p>
      <w:r>
        <w:rPr>
          <w:b/>
        </w:rPr>
        <w:t>В чём проблема.</w:t>
      </w:r>
      <w:r>
        <w:t xml:space="preserve"> Два рабочих дня на проверку платформы, включающей приём платежей, личный кабинет и отчётность, недостаточны для содержательного тестирования. Правило об автоматической приёмке при молчании создаёт риск принять работы с неустранёнными дефектами.</w:t>
      </w:r>
    </w:p>
    <w:p>
      <w:r>
        <w:rPr>
          <w:b/>
        </w:rPr>
        <w:t>Что предлагаем.</w:t>
      </w:r>
      <w:r>
        <w:t xml:space="preserve"> Срок приёмки — 10 рабочих дней с даты письменного уведомления о завершении этапа. Замечания оформляются письменно с указанием выявленных несоответствий техническому заданию; Исполнитель устраняет их в течение 10 рабочих дней, после чего течёт новый срок приёмки. Положение об автоматической приёмке при бездействии Заказчика исключить либо увеличить срок такого бездействия до 15 рабочих дней.</w:t>
      </w:r>
    </w:p>
    <w:p>
      <w:pPr>
        <w:pStyle w:val="Heading3"/>
        <ck:id v="16"/>
      </w:pPr>
      <w:bookmarkStart w:id="7" w:name="_16"/>
      <w:r>
        <w:t>1.6. Ретроактивное действие</w:t>
      </w:r>
      <w:bookmarkEnd w:id="7"/>
    </w:p>
    <w:p>
      <w:r>
        <w:rPr>
          <w:b/>
        </w:rPr>
        <w:t>Как сейчас.</w:t>
      </w:r>
      <w:r>
        <w:t xml:space="preserve"> Пункт 9.1: договор вступает в силу с момента подписания и перечисления аванса.</w:t>
      </w:r>
    </w:p>
    <w:p>
      <w:r>
        <w:rPr>
          <w:b/>
        </w:rPr>
        <w:t>В чём проблема.</w:t>
      </w:r>
      <w:r>
        <w:t xml:space="preserve"> Работы фактически начаты в начале августа 2026 года, до подписания договора. Результаты, созданные до даты подписания, договором не охвачены, и права на них не переходят.</w:t>
      </w:r>
    </w:p>
    <w:p>
      <w:r>
        <w:rPr>
          <w:b/>
        </w:rPr>
        <w:t>Что предлагаем закрепить.</w:t>
      </w:r>
      <w:r>
        <w:t xml:space="preserve"> Условия договора распространяются на отношения сторон, возникшие с момента фактического начала работ — указать конкретную дату. Все результаты, созданные до подписания договора, признаются выполненными в рамках настоящего договора, и исключительные права на них переходят Заказчику на условиях пункта 1.1 настоящих замечаний.</w:t>
      </w:r>
    </w:p>
    <w:p>
      <w:pPr>
        <w:pStyle w:val="Heading2"/>
        <ck:id v="2"/>
      </w:pPr>
      <w:bookmarkStart w:id="8" w:name="_2"/>
      <w:r>
        <w:t>Блок 2. Важные — существенно влияют на риски</w:t>
      </w:r>
      <w:bookmarkEnd w:id="8"/>
    </w:p>
    <w:p>
      <w:pPr>
        <w:pStyle w:val="Heading3"/>
        <ck:id v="21"/>
      </w:pPr>
      <w:bookmarkStart w:id="9" w:name="_21"/>
      <w:r>
        <w:t>2.1. Гарантийные обязательства</w:t>
      </w:r>
      <w:bookmarkEnd w:id="9"/>
    </w:p>
    <w:p>
      <w:r>
        <w:rPr>
          <w:b/>
        </w:rPr>
        <w:t>Как сейчас.</w:t>
      </w:r>
      <w:r>
        <w:t xml:space="preserve"> Гарантийный период не установлен. Пункт 9.2: договор прекращает действие с момента подписания акта.</w:t>
      </w:r>
    </w:p>
    <w:p>
      <w:r>
        <w:rPr>
          <w:b/>
        </w:rPr>
        <w:t>В чём проблема.</w:t>
      </w:r>
      <w:r>
        <w:t xml:space="preserve"> После подписания акта любая обнаруженная ошибка — в том числе в модуле приёма платежей — становится предметом нового платного заказа.</w:t>
      </w:r>
    </w:p>
    <w:p>
      <w:r>
        <w:rPr>
          <w:b/>
        </w:rPr>
        <w:t>Что предлагаем.</w:t>
      </w:r>
      <w:r>
        <w:t xml:space="preserve"> Установить гарантийный период 6 месяцев с даты подписания итогового акта. В течение гарантийного периода Исполнитель безвозмездно устраняет дефекты, представляющие собой несоответствие результата техническому заданию, в срок не более 5 рабочих дней для критичных дефектов (неработоспособность приёма платежей, недоступность платформы, утрата данных) и 10 рабочих дней для прочих. Пункт 9.2 дополнить оговоркой, что прекращение договора не затрагивает гарантийных обязательств и обязательств по конфиденциальности.</w:t>
      </w:r>
    </w:p>
    <w:p>
      <w:pPr>
        <w:pStyle w:val="Heading3"/>
        <ck:id v="22"/>
      </w:pPr>
      <w:bookmarkStart w:id="10" w:name="_22"/>
      <w:r>
        <w:t>2.2. Порядок оплаты и удержание</w:t>
      </w:r>
      <w:bookmarkEnd w:id="10"/>
    </w:p>
    <w:p>
      <w:r>
        <w:rPr>
          <w:b/>
        </w:rPr>
        <w:t>Как сейчас.</w:t>
      </w:r>
      <w:r>
        <w:t xml:space="preserve"> Пункт 3.1: все платежи производятся авансом; 30 процентов до начала работ, оставшиеся 70 процентов — до размещения сайта на хостинге Заказчика.</w:t>
      </w:r>
    </w:p>
    <w:p>
      <w:r>
        <w:rPr>
          <w:b/>
        </w:rPr>
        <w:t>В чём проблема.</w:t>
      </w:r>
      <w:r>
        <w:t xml:space="preserve"> Полная оплата производится до того, как Заказчик получает возможность проверить работоспособность платформы в своей среде. Средства удержания на период приёмки и гарантии не предусмотрены.</w:t>
      </w:r>
    </w:p>
    <w:p>
      <w:r>
        <w:rPr>
          <w:b/>
        </w:rPr>
        <w:t>Что предлагаем.</w:t>
      </w:r>
      <w:r>
        <w:t xml:space="preserve"> Разбить оплату на три части: 30 процентов авансом, 50 процентов по завершении основных этапов разработки, 20 процентов после подписания итогового акта приёмки. Альтернативный вариант, если Исполнитель настаивает на сохранении структуры 30 на 70, — удержание 20 процентов от итогового платежа до окончания срока приёмки.</w:t>
      </w:r>
    </w:p>
    <w:p>
      <w:pPr>
        <w:pStyle w:val="Heading3"/>
        <ck:id v="23"/>
      </w:pPr>
      <w:bookmarkStart w:id="11" w:name="_23"/>
      <w:r>
        <w:t>2.3. Ответственность за нарушение сроков</w:t>
      </w:r>
      <w:bookmarkEnd w:id="11"/>
    </w:p>
    <w:p>
      <w:r>
        <w:rPr>
          <w:b/>
        </w:rPr>
        <w:t>Как сейчас.</w:t>
      </w:r>
      <w:r>
        <w:t xml:space="preserve"> Раздел 5 содержит общую отсылку к законодательству. При этом пункт 2.3.1 прямо предоставляет Исполнителю право приостановить работы при просрочке оплаты.</w:t>
      </w:r>
    </w:p>
    <w:p>
      <w:r>
        <w:rPr>
          <w:b/>
        </w:rPr>
        <w:t>В чём проблема.</w:t>
      </w:r>
      <w:r>
        <w:t xml:space="preserve"> Ответственность сторон асимметрична: механизм воздействия на Заказчика прописан конкретно, на Исполнителя — нет.</w:t>
      </w:r>
    </w:p>
    <w:p>
      <w:r>
        <w:rPr>
          <w:b/>
        </w:rPr>
        <w:t>Что предлагаем.</w:t>
      </w:r>
      <w:r>
        <w:t xml:space="preserve"> Установить неустойку за нарушение Исполнителем срока выполнения этапа в размере 0,1 процента от стоимости соответствующего этапа за каждый день просрочки, с ограничением общей суммы неустойки 10 процентами цены договора. При просрочке свыше 30 календарных дней Заказчик вправе расторгнуть договор в одностороннем порядке с возвратом уплаченных сумм за невыполненные этапы и сохранением прав на созданные результаты.</w:t>
      </w:r>
    </w:p>
    <w:p>
      <w:pPr>
        <w:pStyle w:val="Heading3"/>
        <ck:id v="24"/>
      </w:pPr>
      <w:bookmarkStart w:id="12" w:name="_24"/>
      <w:r>
        <w:t>2.4. Конфиденциальность</w:t>
      </w:r>
      <w:bookmarkEnd w:id="12"/>
    </w:p>
    <w:p>
      <w:r>
        <w:rPr>
          <w:b/>
        </w:rPr>
        <w:t>Как сейчас.</w:t>
      </w:r>
      <w:r>
        <w:t xml:space="preserve"> Раздел 7 состоит из одного пункта и касается исключительно конфиденциальности сведений об управлении веб-хостингом.</w:t>
      </w:r>
    </w:p>
    <w:p>
      <w:r>
        <w:rPr>
          <w:b/>
        </w:rPr>
        <w:t>В чём проблема.</w:t>
      </w:r>
      <w:r>
        <w:t xml:space="preserve"> В ходе работ Исполнитель получит доступ к персональным данным клиентов, сведениям об умерших, координатам мест захоронения, а также к коммерческой информации — тарифам, объёмам продаж, данным CRM. Режим их защиты не установлен.</w:t>
      </w:r>
    </w:p>
    <w:p>
      <w:r>
        <w:rPr>
          <w:b/>
        </w:rPr>
        <w:t>Что предлагаем.</w:t>
      </w:r>
      <w:r>
        <w:t xml:space="preserve"> Расширить раздел: Исполнитель обязуется не разглашать и не использовать в целях, не связанных с исполнением договора, любые сведения, ставшие ему известными в связи с работами, включая персональные данные клиентов Заказчика, сведения об умерших лицах, данные о местах захоронения, коммерческие условия и содержимое базы данных. Обязательство действует бессрочно и сохраняется после прекращения договора. По завершении работ Исполнитель удаляет копии данных Заказчика со своих носителей и подтверждает это письменно.</w:t>
      </w:r>
    </w:p>
    <w:p>
      <w:pPr>
        <w:pStyle w:val="Heading3"/>
        <ck:id v="25"/>
      </w:pPr>
      <w:bookmarkStart w:id="13" w:name="_25"/>
      <w:r>
        <w:t>2.5. Обработка персональных данных</w:t>
      </w:r>
      <w:bookmarkEnd w:id="13"/>
    </w:p>
    <w:p>
      <w:r>
        <w:rPr>
          <w:b/>
        </w:rPr>
        <w:t>Как сейчас.</w:t>
      </w:r>
      <w:r>
        <w:t xml:space="preserve"> Положения отсутствуют.</w:t>
      </w:r>
    </w:p>
    <w:p>
      <w:r>
        <w:rPr>
          <w:b/>
        </w:rPr>
        <w:t>В чём проблема.</w:t>
      </w:r>
      <w:r>
        <w:t xml:space="preserve"> Значительная часть клиентов Заказчика — резиденты Европейского союза и США. К обработке их персональных данных применяются требования соответствующих юрисдикций, ответственность за соблюдение которых несёт Заказчик как оператор.</w:t>
      </w:r>
    </w:p>
    <w:p>
      <w:r>
        <w:rPr>
          <w:b/>
        </w:rPr>
        <w:t>Что предлагаем.</w:t>
      </w:r>
      <w:r>
        <w:t xml:space="preserve"> Включить положение о том, что Исполнитель обрабатывает персональные данные исключительно по поручению и в объёме указаний Заказчика, обеспечивает организационные и технические меры защиты, не привлекает третьих лиц без письменного согласия Заказчика, уведомляет Заказчика о любом инциденте безопасности в течение 24 часов с момента обнаружения. Просьба оценить, требуется ли отдельное соглашение об обработке персональных данных.</w:t>
      </w:r>
    </w:p>
    <w:p>
      <w:pPr>
        <w:pStyle w:val="Heading3"/>
        <ck:id v="26"/>
      </w:pPr>
      <w:bookmarkStart w:id="14" w:name="_26"/>
      <w:r>
        <w:t>2.6. Право приостановить работы</w:t>
      </w:r>
      <w:bookmarkEnd w:id="14"/>
    </w:p>
    <w:p>
      <w:r>
        <w:rPr>
          <w:b/>
        </w:rPr>
        <w:t>Как сейчас.</w:t>
      </w:r>
      <w:r>
        <w:t xml:space="preserve"> Положения отсутствуют. Право приостановки предоставлено только Исполнителю при просрочке оплаты.</w:t>
      </w:r>
    </w:p>
    <w:p>
      <w:r>
        <w:rPr>
          <w:b/>
        </w:rPr>
        <w:t>Что предлагаем.</w:t>
      </w:r>
      <w:r>
        <w:t xml:space="preserve"> Предоставить Заказчику право приостановить выполнение работ на срок до 60 календарных дней с письменным уведомлением, без применения санкций; срок выполнения работ продлевается на период приостановки.</w:t>
      </w:r>
    </w:p>
    <w:p>
      <w:pPr>
        <w:pStyle w:val="Heading3"/>
        <ck:id v="27"/>
      </w:pPr>
      <w:bookmarkStart w:id="15" w:name="_27"/>
      <w:r>
        <w:t>2.7. Домен и хостинг</w:t>
      </w:r>
      <w:bookmarkEnd w:id="15"/>
    </w:p>
    <w:p>
      <w:r>
        <w:rPr>
          <w:b/>
        </w:rPr>
        <w:t>Как сейчас.</w:t>
      </w:r>
      <w:r>
        <w:t xml:space="preserve"> Согласно разделу 3 стоимость хостинга и регистрации доменного имени в цену не входит. В приложении указано, что доменное имя определяет Заказчик, а техническую привязку осуществляет Исполнитель.</w:t>
      </w:r>
    </w:p>
    <w:p>
      <w:r>
        <w:rPr>
          <w:b/>
        </w:rPr>
        <w:t>В чём проблема.</w:t>
      </w:r>
      <w:r>
        <w:t xml:space="preserve"> Не определено, на чьё имя регистрируется домен и кому принадлежат учётные записи хостинга. Практика показывает, что оформление домена на разработчика впоследствии создаёт зависимость.</w:t>
      </w:r>
    </w:p>
    <w:p>
      <w:r>
        <w:rPr>
          <w:b/>
        </w:rPr>
        <w:t>Что предлагаем закрепить.</w:t>
      </w:r>
      <w:r>
        <w:t xml:space="preserve"> Доменное имя memorycare.am регистрируется на имя Заказчика; учётная запись хостинга оформляется на Заказчика; все учётные данные доступа передаются Заказчику при приёмке. Стоимость хостинга и домена зафиксировать в договоре отдельной строкой.</w:t>
      </w:r>
    </w:p>
    <w:p>
      <w:pPr>
        <w:pStyle w:val="Heading3"/>
        <ck:id v="28"/>
      </w:pPr>
      <w:bookmarkStart w:id="16" w:name="_28"/>
      <w:r>
        <w:t>2.8. Использование в портфолио</w:t>
      </w:r>
      <w:bookmarkEnd w:id="16"/>
    </w:p>
    <w:p>
      <w:r>
        <w:rPr>
          <w:b/>
        </w:rPr>
        <w:t>Как сейчас.</w:t>
      </w:r>
      <w:r>
        <w:t xml:space="preserve"> Пункт 6.1 предоставляет Исполнителю право использовать ссылки на Сайт с контактными данными Заказчика.</w:t>
      </w:r>
    </w:p>
    <w:p>
      <w:r>
        <w:rPr>
          <w:b/>
        </w:rPr>
        <w:t>В чём проблема.</w:t>
      </w:r>
      <w:r>
        <w:t xml:space="preserve"> Сфера деятельности Заказчика чувствительна. Публичное упоминание проекта, а тем более использование материалов с изображениями мест захоронения, требует контроля.</w:t>
      </w:r>
    </w:p>
    <w:p>
      <w:r>
        <w:rPr>
          <w:b/>
        </w:rPr>
        <w:t>Что предлагаем.</w:t>
      </w:r>
      <w:r>
        <w:t xml:space="preserve"> Использование сведений о проекте в портфолио и рекламных материалах Исполнителя — только с предварительного письменного согласия Заказчика. Использование фотоматериалов с мест захоронения и данных клиентов не допускается ни при каких условиях.</w:t>
      </w:r>
    </w:p>
    <w:p>
      <w:pPr>
        <w:pStyle w:val="Heading2"/>
        <ck:id v="3"/>
      </w:pPr>
      <w:bookmarkStart w:id="17" w:name="_3"/>
      <w:r>
        <w:t>Блок 3. Уточнения и вопросы к Исполнителю</w:t>
      </w:r>
      <w:bookmarkEnd w:id="17"/>
    </w:p>
    <w:p>
      <w:r>
        <w:t>Просьба получить письменные ответы до подписания.</w:t>
      </w:r>
    </w:p>
    <w:p>
      <w:r>
        <w:rPr>
          <w:b/>
        </w:rPr>
        <w:t>Что входит в цену 1 200 000 драм.</w:t>
      </w:r>
      <w:r>
        <w:t xml:space="preserve"> Включена ли интеграция с платёжным шлюзом Америабанка, разработка личного кабинета клиента, операционной консоли и модуля отчётности, либо эти работы оплачиваются отдельно.</w:t>
      </w:r>
    </w:p>
    <w:p>
      <w:r>
        <w:rPr>
          <w:b/>
        </w:rPr>
        <w:t>Переводы.</w:t>
      </w:r>
      <w:r>
        <w:t xml:space="preserve"> Приложение к образцу прямо снимает с Исполнителя перевод текстов. Требуется подтвердить, что подготовка версий сайта на армянском, английском и русском языках в части перевода содержимого лежит на Заказчике, — эта статья расходов у нас не запланирована.</w:t>
      </w:r>
    </w:p>
    <w:p>
      <w:r>
        <w:rPr>
          <w:b/>
        </w:rPr>
        <w:t>Стоимость хостинга и домена</w:t>
      </w:r>
      <w:r>
        <w:t xml:space="preserve"> в год.</w:t>
      </w:r>
    </w:p>
    <w:p>
      <w:r>
        <w:rPr>
          <w:b/>
        </w:rPr>
        <w:t>Мобильная часть.</w:t>
      </w:r>
      <w:r>
        <w:t xml:space="preserve"> Каким образом реализуется интерфейс для полевой бригады — адаптивная веб-версия или отдельное приложение, и входит ли это в цену.</w:t>
      </w:r>
    </w:p>
    <w:p>
      <w:r>
        <w:rPr>
          <w:b/>
        </w:rPr>
        <w:t>Требования банка.</w:t>
      </w:r>
      <w:r>
        <w:t xml:space="preserve"> Заказчиком получен перечень из восьми требований Америабанка к сайту, обязательных для подключения интернет-эквайринга. Просьба подтвердить готовность обеспечить их выполнение в рамках договора, поскольку прохождение проверки банка предлагается сделать условием приёмки.</w:t>
      </w:r>
    </w:p>
    <w:p>
      <w:pPr>
        <w:pStyle w:val="Heading2"/>
        <ck:id v="section-1"/>
      </w:pPr>
      <w:bookmarkStart w:id="18" w:name="section_1"/>
      <w:r>
        <w:t>Приоритет</w:t>
      </w:r>
      <w:bookmarkEnd w:id="18"/>
    </w:p>
    <w:p>
      <w:r>
        <w:t>Если Исполнитель согласится не на все замечания, минимально необходимыми считаем пункты 1.1, 1.3, 1.5 и 2.1 — исключительные права, передача исходного кода, реальный срок приёмки и гарантийный период. Без них риск потерять контроль над платформой, за которую уплачено 1 200 000 драм, представляется неприемлемым.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