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hubspot-memorycare"/>
      </w:pPr>
      <w:bookmarkStart w:id="0" w:name="hubspot_memorycare"/>
      <w:r>
        <w:t>Настройка HubSpot под MemoryCare</w:t>
      </w:r>
      <w:bookmarkEnd w:id="0"/>
    </w:p>
    <w:p>
      <w:r>
        <w:t>Инструкция по ручной настройке · 10 августа 2026 · портал 149057498</w:t>
      </w:r>
    </w:p>
    <w:p>
      <w:r>
        <w:t>Этот документ описывает то, что нужно сделать руками в интерфейсе HubSpot. Создание полей и этапов воронки через подключение недоступно — таких инструментов у HubSpot нет, структура настраивается только в настройках портала. Всё остальное — заведение контактов, сделок, задач, ведение записей — после этого делаю я.</w:t>
      </w:r>
    </w:p>
    <w:p>
      <w:r>
        <w:t>Порядок важен: сначала чистим аккаунт, затем создаём поля, затем воронки. Если сделать наоборот, при создании воронки не из чего будет выбрать поля.</w:t>
      </w:r>
    </w:p>
    <w:p>
      <w:pPr>
        <w:pStyle w:val="Heading2"/>
        <ck:id v="1"/>
      </w:pPr>
      <w:bookmarkStart w:id="1" w:name="_1"/>
      <w:r>
        <w:t>Шаг 1. Удалить демонстрационные данные</w:t>
      </w:r>
      <w:bookmarkEnd w:id="1"/>
    </w:p>
    <w:p>
      <w:r>
        <w:t xml:space="preserve">В аккаунте лежат учебные записи, которые HubSpot создаёт при регистрации: контакты </w:t>
      </w:r>
      <w:r>
        <w:rPr>
          <w:b/>
        </w:rPr>
        <w:t>Brian Halligan (Sample Contact)</w:t>
      </w:r>
      <w:r>
        <w:t xml:space="preserve"> и </w:t>
      </w:r>
      <w:r>
        <w:rPr>
          <w:b/>
        </w:rPr>
        <w:t>Maria Johnson (Sample Contact)</w:t>
      </w:r>
      <w:r>
        <w:t xml:space="preserve">, а также компания </w:t>
      </w:r>
      <w:r>
        <w:rPr>
          <w:b/>
        </w:rPr>
        <w:t>HubSpot</w:t>
      </w:r>
      <w:r>
        <w:t xml:space="preserve"> с доменом hubspot.com. Они безобидны, но будут искажать все отчёты по конверсии и мозолить глаза при первых живых заявках.</w:t>
      </w:r>
    </w:p>
    <w:p>
      <w:r>
        <w:t xml:space="preserve">Откройте раздел </w:t>
      </w:r>
      <w:r>
        <w:rPr>
          <w:b/>
        </w:rPr>
        <w:t>CRM → Контакты</w:t>
      </w:r>
      <w:r>
        <w:t xml:space="preserve">, отметьте оба контакта галочками слева и нажмите </w:t>
      </w:r>
      <w:r>
        <w:rPr>
          <w:b/>
        </w:rPr>
        <w:t>Delete</w:t>
      </w:r>
      <w:r>
        <w:t xml:space="preserve"> над таблицей. Затем </w:t>
      </w:r>
      <w:r>
        <w:rPr>
          <w:b/>
        </w:rPr>
        <w:t>CRM → Компании</w:t>
      </w:r>
      <w:r>
        <w:t>, отметьте запись HubSpot и удалите так же. Компанию MemoryCare не трогайте — она наша.</w:t>
      </w:r>
    </w:p>
    <w:p>
      <w:pPr>
        <w:pStyle w:val="Heading2"/>
        <ck:id v="2"/>
      </w:pPr>
      <w:bookmarkStart w:id="2" w:name="_2"/>
      <w:r>
        <w:t>Шаг 2. Создать поля в карточке контакта</w:t>
      </w:r>
      <w:bookmarkEnd w:id="2"/>
    </w:p>
    <w:p>
      <w:r>
        <w:t xml:space="preserve">Путь: значок шестерёнки вверху справа → </w:t>
      </w:r>
      <w:r>
        <w:rPr>
          <w:b/>
        </w:rPr>
        <w:t>Data Management → Properties</w:t>
      </w:r>
      <w:r>
        <w:t xml:space="preserve"> → кнопка </w:t>
      </w:r>
      <w:r>
        <w:rPr>
          <w:b/>
        </w:rPr>
        <w:t>Create property</w:t>
      </w:r>
      <w:r>
        <w:t xml:space="preserve">. Object type везде выбирайте </w:t>
      </w:r>
      <w:r>
        <w:rPr>
          <w:b/>
        </w:rPr>
        <w:t>Contact</w:t>
      </w:r>
      <w:r>
        <w:t>.</w:t>
      </w:r>
    </w:p>
    <w:p>
      <w:r>
        <w:t>Каждое поле создаётся одинаково: вписываете название, выбираете тип, для выпадающих списков добавляете варианты по одному. Группу (Property group) можно оставить любую или завести свою с названием MemoryCare — так поля будет проще искать.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Название поля</w:t>
            </w:r>
          </w:p>
        </w:tc>
        <w:tc>
          <w:tcPr/>
          <w:p>
            <w:r>
              <w:rPr>
                <w:b/>
              </w:rPr>
              <w:t>Тип</w:t>
            </w:r>
          </w:p>
        </w:tc>
        <w:tc>
          <w:tcPr/>
          <w:p>
            <w:r>
              <w:rPr>
                <w:b/>
              </w:rPr>
              <w:t>Варианты</w:t>
            </w:r>
          </w:p>
        </w:tc>
      </w:tr>
      <w:tr>
        <w:tc>
          <w:tcPr/>
          <w:p>
            <w:r>
              <w:t>Язык общения</w:t>
            </w:r>
          </w:p>
        </w:tc>
        <w:tc>
          <w:tcPr/>
          <w:p>
            <w:r>
              <w:t>Dropdown select</w:t>
            </w:r>
          </w:p>
        </w:tc>
        <w:tc>
          <w:tcPr/>
          <w:p>
            <w:r>
              <w:t>Армянский · Английский · Русский</w:t>
            </w:r>
          </w:p>
        </w:tc>
      </w:tr>
      <w:tr>
        <w:tc>
          <w:tcPr/>
          <w:p>
            <w:r>
              <w:t>Сегмент</w:t>
            </w:r>
          </w:p>
        </w:tc>
        <w:tc>
          <w:tcPr/>
          <w:p>
            <w:r>
              <w:t>Dropdown select</w:t>
            </w:r>
          </w:p>
        </w:tc>
        <w:tc>
          <w:tcPr/>
          <w:p>
            <w:r>
              <w:t>Диаспора · Ереван (местный)</w:t>
            </w:r>
          </w:p>
        </w:tc>
      </w:tr>
      <w:tr>
        <w:tc>
          <w:tcPr/>
          <w:p>
            <w:r>
              <w:t>Кладбище</w:t>
            </w:r>
          </w:p>
        </w:tc>
        <w:tc>
          <w:tcPr/>
          <w:p>
            <w:r>
              <w:t>Single-line text</w:t>
            </w:r>
          </w:p>
        </w:tc>
        <w:tc>
          <w:tcPr/>
          <w:p>
            <w:r>
              <w:t>—</w:t>
            </w:r>
          </w:p>
        </w:tc>
      </w:tr>
      <w:tr>
        <w:tc>
          <w:tcPr/>
          <w:p>
            <w:r>
              <w:t>Город участка</w:t>
            </w:r>
          </w:p>
        </w:tc>
        <w:tc>
          <w:tcPr/>
          <w:p>
            <w:r>
              <w:t>Single-line text</w:t>
            </w:r>
          </w:p>
        </w:tc>
        <w:tc>
          <w:tcPr/>
          <w:p>
            <w:r>
              <w:t>—</w:t>
            </w:r>
          </w:p>
        </w:tc>
      </w:tr>
      <w:tr>
        <w:tc>
          <w:tcPr/>
          <w:p>
            <w:r>
              <w:t>Имя усопшего</w:t>
            </w:r>
          </w:p>
        </w:tc>
        <w:tc>
          <w:tcPr/>
          <w:p>
            <w:r>
              <w:t>Single-line text</w:t>
            </w:r>
          </w:p>
        </w:tc>
        <w:tc>
          <w:tcPr/>
          <w:p>
            <w:r>
              <w:t>—</w:t>
            </w:r>
          </w:p>
        </w:tc>
      </w:tr>
      <w:tr>
        <w:tc>
          <w:tcPr/>
          <w:p>
            <w:r>
              <w:t>Степень родства</w:t>
            </w:r>
          </w:p>
        </w:tc>
        <w:tc>
          <w:tcPr/>
          <w:p>
            <w:r>
              <w:t>Dropdown select</w:t>
            </w:r>
          </w:p>
        </w:tc>
        <w:tc>
          <w:tcPr/>
          <w:p>
            <w:r>
              <w:t>Родитель · Бабушка/дедушка · Супруг(а) · Ребёнок · Другой родственник</w:t>
            </w:r>
          </w:p>
        </w:tc>
      </w:tr>
      <w:tr>
        <w:tc>
          <w:tcPr/>
          <w:p>
            <w:r>
              <w:t>Памятная дата</w:t>
            </w:r>
          </w:p>
        </w:tc>
        <w:tc>
          <w:tcPr/>
          <w:p>
            <w:r>
              <w:t>Date picker</w:t>
            </w:r>
          </w:p>
        </w:tc>
        <w:tc>
          <w:tcPr/>
          <w:p>
            <w:r>
              <w:t>—</w:t>
            </w:r>
          </w:p>
        </w:tc>
      </w:tr>
      <w:tr>
        <w:tc>
          <w:tcPr/>
          <w:p>
            <w:r>
              <w:t>Канал связи</w:t>
            </w:r>
          </w:p>
        </w:tc>
        <w:tc>
          <w:tcPr/>
          <w:p>
            <w:r>
              <w:t>Dropdown select</w:t>
            </w:r>
          </w:p>
        </w:tc>
        <w:tc>
          <w:tcPr/>
          <w:p>
            <w:r>
              <w:t>WhatsApp · Viber · Звонок · Email · Telegram</w:t>
            </w:r>
          </w:p>
        </w:tc>
      </w:tr>
      <w:tr>
        <w:tc>
          <w:tcPr/>
          <w:p>
            <w:r>
              <w:t>Канал заявки</w:t>
            </w:r>
          </w:p>
        </w:tc>
        <w:tc>
          <w:tcPr/>
          <w:p>
            <w:r>
              <w:t>Dropdown select</w:t>
            </w:r>
          </w:p>
        </w:tc>
        <w:tc>
          <w:tcPr/>
          <w:p>
            <w:r>
              <w:t>Facebook · Instagram · LinkedIn · Сайт · Рекомендация · Партнёр (церковь/община) · Другое</w:t>
            </w:r>
          </w:p>
        </w:tc>
      </w:tr>
      <w:tr>
        <w:tc>
          <w:tcPr/>
          <w:p>
            <w:r>
              <w:t>Тариф</w:t>
            </w:r>
          </w:p>
        </w:tc>
        <w:tc>
          <w:tcPr/>
          <w:p>
            <w:r>
              <w:t>Dropdown select</w:t>
            </w:r>
          </w:p>
        </w:tc>
        <w:tc>
          <w:tcPr/>
          <w:p>
            <w:r>
              <w:t>Զննում · Էքսպրես · Օպտիմալ · Մաքսիմում</w:t>
            </w:r>
          </w:p>
        </w:tc>
      </w:tr>
    </w:tbl>
    <w:p>
      <w:r>
        <w:t xml:space="preserve">Страну проживания отдельно создавать не нужно — в HubSpot уже есть стандартное поле </w:t>
      </w:r>
      <w:r>
        <w:rPr>
          <w:b/>
        </w:rPr>
        <w:t>Country/Region</w:t>
      </w:r>
      <w:r>
        <w:t>, используем его. UTM-метки система тоже собирает сама в стандартные поля аналитики, дублировать их не надо.</w:t>
      </w:r>
    </w:p>
    <w:p>
      <w:r>
        <w:t xml:space="preserve">Два поля стоят отдельного пояснения. </w:t>
      </w:r>
      <w:r>
        <w:rPr>
          <w:b/>
        </w:rPr>
        <w:t>Памятная дата</w:t>
      </w:r>
      <w:r>
        <w:t xml:space="preserve"> — это не формальность: она даёт повод для касания раз в год и лежит в основе реферального подарка с цветами, который мы утвердили седьмого августа. </w:t>
      </w:r>
      <w:r>
        <w:rPr>
          <w:b/>
        </w:rPr>
        <w:t>Сегмент</w:t>
      </w:r>
      <w:r>
        <w:t xml:space="preserve"> заменяет нам вторую воронку — процесс продажи у диаспоры и у ереванцев одинаковый, разница только в языке и часовом поясе, поэтому режем отчёты фильтром, а не плодим сущности.</w:t>
      </w:r>
    </w:p>
    <w:p>
      <w:pPr>
        <w:pStyle w:val="Heading2"/>
        <ck:id v="3"/>
      </w:pPr>
      <w:bookmarkStart w:id="3" w:name="_3"/>
      <w:r>
        <w:t>Шаг 3. Создать поля в карточке сделки</w:t>
      </w:r>
      <w:bookmarkEnd w:id="3"/>
    </w:p>
    <w:p>
      <w:r>
        <w:t xml:space="preserve">Тот же путь, но Object type — </w:t>
      </w:r>
      <w:r>
        <w:rPr>
          <w:b/>
        </w:rPr>
        <w:t>Deal</w:t>
      </w:r>
      <w:r>
        <w:t>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Название поля</w:t>
            </w:r>
          </w:p>
        </w:tc>
        <w:tc>
          <w:tcPr/>
          <w:p>
            <w:r>
              <w:rPr>
                <w:b/>
              </w:rPr>
              <w:t>Тип</w:t>
            </w:r>
          </w:p>
        </w:tc>
        <w:tc>
          <w:tcPr/>
          <w:p>
            <w:r>
              <w:rPr>
                <w:b/>
              </w:rPr>
              <w:t>Варианты</w:t>
            </w:r>
          </w:p>
        </w:tc>
      </w:tr>
      <w:tr>
        <w:tc>
          <w:tcPr/>
          <w:p>
            <w:r>
              <w:t>Кладбище</w:t>
            </w:r>
          </w:p>
        </w:tc>
        <w:tc>
          <w:tcPr/>
          <w:p>
            <w:r>
              <w:t>Single-line text</w:t>
            </w:r>
          </w:p>
        </w:tc>
        <w:tc>
          <w:tcPr/>
          <w:p>
            <w:r>
              <w:t>—</w:t>
            </w:r>
          </w:p>
        </w:tc>
      </w:tr>
      <w:tr>
        <w:tc>
          <w:tcPr/>
          <w:p>
            <w:r>
              <w:t>Количество участков</w:t>
            </w:r>
          </w:p>
        </w:tc>
        <w:tc>
          <w:tcPr/>
          <w:p>
            <w:r>
              <w:t>Number</w:t>
            </w:r>
          </w:p>
        </w:tc>
        <w:tc>
          <w:tcPr/>
          <w:p>
            <w:r>
              <w:t>—</w:t>
            </w:r>
          </w:p>
        </w:tc>
      </w:tr>
      <w:tr>
        <w:tc>
          <w:tcPr/>
          <w:p>
            <w:r>
              <w:t>Причина отказа</w:t>
            </w:r>
          </w:p>
        </w:tc>
        <w:tc>
          <w:tcPr/>
          <w:p>
            <w:r>
              <w:t>Dropdown select</w:t>
            </w:r>
          </w:p>
        </w:tc>
        <w:tc>
          <w:tcPr/>
          <w:p>
            <w:r>
              <w:t>Цена · Не доверяет · Отложил решение · Нет участка в нашем городе · Ухаживает сам · Родственники против · Перестал отвечать · Другое</w:t>
            </w:r>
          </w:p>
        </w:tc>
      </w:tr>
    </w:tbl>
    <w:p>
      <w:r>
        <w:t>Причина отказа обязательна к заполнению при закрытии сделки в минус. Это выглядит бюрократией ровно до того момента, когда через три месяца надо понять, во что мы упираемся: в цену, в недоверие к незнакомой компании или в географию. Без этого поля ответ будет строиться на ощущениях.</w:t>
      </w:r>
    </w:p>
    <w:p>
      <w:pPr>
        <w:pStyle w:val="Heading2"/>
        <ck:id v="4"/>
      </w:pPr>
      <w:bookmarkStart w:id="4" w:name="_4"/>
      <w:r>
        <w:t>Шаг 4. Настроить воронку пакетов</w:t>
      </w:r>
      <w:bookmarkEnd w:id="4"/>
    </w:p>
    <w:p>
      <w:r>
        <w:t xml:space="preserve">Путь: шестерёнка → </w:t>
      </w:r>
      <w:r>
        <w:rPr>
          <w:b/>
        </w:rPr>
        <w:t>Objects → Deals → вкладка Pipelines</w:t>
      </w:r>
      <w:r>
        <w:t xml:space="preserve">. Переименуйте существующую воронку в </w:t>
      </w:r>
      <w:r>
        <w:rPr>
          <w:b/>
        </w:rPr>
        <w:t>MemoryCare — Пакеты</w:t>
      </w:r>
      <w:r>
        <w:t xml:space="preserve"> и замените стандартные этапы на наши.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Этап</w:t>
            </w:r>
          </w:p>
        </w:tc>
        <w:tc>
          <w:tcPr/>
          <w:p>
            <w:r>
              <w:rPr>
                <w:b/>
              </w:rPr>
              <w:t>Вероятность</w:t>
            </w:r>
          </w:p>
        </w:tc>
        <w:tc>
          <w:tcPr/>
          <w:p>
            <w:r>
              <w:rPr>
                <w:b/>
              </w:rPr>
              <w:t>Что означает</w:t>
            </w:r>
          </w:p>
        </w:tc>
      </w:tr>
      <w:tr>
        <w:tc>
          <w:tcPr/>
          <w:p>
            <w:r>
              <w:t>Новая заявка</w:t>
            </w:r>
          </w:p>
        </w:tc>
        <w:tc>
          <w:tcPr/>
          <w:p>
            <w:r>
              <w:t>10%</w:t>
            </w:r>
          </w:p>
        </w:tc>
        <w:tc>
          <w:tcPr/>
          <w:p>
            <w:r>
              <w:t>Заявка пришла, контакта ещё не было</w:t>
            </w:r>
          </w:p>
        </w:tc>
      </w:tr>
      <w:tr>
        <w:tc>
          <w:tcPr/>
          <w:p>
            <w:r>
              <w:t>Связались</w:t>
            </w:r>
          </w:p>
        </w:tc>
        <w:tc>
          <w:tcPr/>
          <w:p>
            <w:r>
              <w:t>25%</w:t>
            </w:r>
          </w:p>
        </w:tc>
        <w:tc>
          <w:tcPr/>
          <w:p>
            <w:r>
              <w:t>Дозвонились, клиент подтвердил интерес</w:t>
            </w:r>
          </w:p>
        </w:tc>
      </w:tr>
      <w:tr>
        <w:tc>
          <w:tcPr/>
          <w:p>
            <w:r>
              <w:t>Консультация проведена</w:t>
            </w:r>
          </w:p>
        </w:tc>
        <w:tc>
          <w:tcPr/>
          <w:p>
            <w:r>
              <w:t>45%</w:t>
            </w:r>
          </w:p>
        </w:tc>
        <w:tc>
          <w:tcPr/>
          <w:p>
            <w:r>
              <w:t>Разобрали участок, объяснили продукт</w:t>
            </w:r>
          </w:p>
        </w:tc>
      </w:tr>
      <w:tr>
        <w:tc>
          <w:tcPr/>
          <w:p>
            <w:r>
              <w:t>Предложение отправлено</w:t>
            </w:r>
          </w:p>
        </w:tc>
        <w:tc>
          <w:tcPr/>
          <w:p>
            <w:r>
              <w:t>70%</w:t>
            </w:r>
          </w:p>
        </w:tc>
        <w:tc>
          <w:tcPr/>
          <w:p>
            <w:r>
              <w:t>Клиент получил конкретный пакет и цену</w:t>
            </w:r>
          </w:p>
        </w:tc>
      </w:tr>
      <w:tr>
        <w:tc>
          <w:tcPr/>
          <w:p>
            <w:r>
              <w:t>Оплачено</w:t>
            </w:r>
          </w:p>
        </w:tc>
        <w:tc>
          <w:tcPr/>
          <w:p>
            <w:r>
              <w:t>100% (won)</w:t>
            </w:r>
          </w:p>
        </w:tc>
        <w:tc>
          <w:tcPr/>
          <w:p>
            <w:r>
              <w:t>Деньги получены, подписка активна</w:t>
            </w:r>
          </w:p>
        </w:tc>
      </w:tr>
      <w:tr>
        <w:tc>
          <w:tcPr/>
          <w:p>
            <w:r>
              <w:t>Отказ</w:t>
            </w:r>
          </w:p>
        </w:tc>
        <w:tc>
          <w:tcPr/>
          <w:p>
            <w:r>
              <w:t>0% (lost)</w:t>
            </w:r>
          </w:p>
        </w:tc>
        <w:tc>
          <w:tcPr/>
          <w:p>
            <w:r>
              <w:t>С обязательной причиной отказа</w:t>
            </w:r>
          </w:p>
        </w:tc>
      </w:tr>
    </w:tbl>
    <w:p>
      <w:pPr>
        <w:pStyle w:val="Heading2"/>
        <ck:id v="5"/>
      </w:pPr>
      <w:bookmarkStart w:id="5" w:name="_5"/>
      <w:r>
        <w:t>Шаг 5. Создать вторую воронку — Զննում</w:t>
      </w:r>
      <w:bookmarkEnd w:id="5"/>
    </w:p>
    <w:p>
      <w:r>
        <w:t xml:space="preserve">На той же вкладке нажмите </w:t>
      </w:r>
      <w:r>
        <w:rPr>
          <w:b/>
        </w:rPr>
        <w:t>Create pipeline</w:t>
      </w:r>
      <w:r>
        <w:t xml:space="preserve"> и назовите её </w:t>
      </w:r>
      <w:r>
        <w:rPr>
          <w:b/>
        </w:rPr>
        <w:t>MemoryCare — Զննում</w:t>
      </w:r>
      <w:r>
        <w:t>. Это прямое следствие вашего решения держать осмотр отдельным островком: если вести его этапом внутри общей воронки, выручка от осмотров смешается с подписками и мы потеряем главную цифру — какая доля осмотров превращается в годовой пакет.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Этап</w:t>
            </w:r>
          </w:p>
        </w:tc>
        <w:tc>
          <w:tcPr/>
          <w:p>
            <w:r>
              <w:rPr>
                <w:b/>
              </w:rPr>
              <w:t>Вероятность</w:t>
            </w:r>
          </w:p>
        </w:tc>
        <w:tc>
          <w:tcPr/>
          <w:p>
            <w:r>
              <w:rPr>
                <w:b/>
              </w:rPr>
              <w:t>Что означает</w:t>
            </w:r>
          </w:p>
        </w:tc>
      </w:tr>
      <w:tr>
        <w:tc>
          <w:tcPr/>
          <w:p>
            <w:r>
              <w:t>Заявка на осмотр</w:t>
            </w:r>
          </w:p>
        </w:tc>
        <w:tc>
          <w:tcPr/>
          <w:p>
            <w:r>
              <w:t>20%</w:t>
            </w:r>
          </w:p>
        </w:tc>
        <w:tc>
          <w:tcPr/>
          <w:p>
            <w:r>
              <w:t>Клиент запросил осмотр участка</w:t>
            </w:r>
          </w:p>
        </w:tc>
      </w:tr>
      <w:tr>
        <w:tc>
          <w:tcPr/>
          <w:p>
            <w:r>
              <w:t>Оплачен</w:t>
            </w:r>
          </w:p>
        </w:tc>
        <w:tc>
          <w:tcPr/>
          <w:p>
            <w:r>
              <w:t>60%</w:t>
            </w:r>
          </w:p>
        </w:tc>
        <w:tc>
          <w:tcPr/>
          <w:p>
            <w:r>
              <w:t>20 000 AMD получены, визит в плане</w:t>
            </w:r>
          </w:p>
        </w:tc>
      </w:tr>
      <w:tr>
        <w:tc>
          <w:tcPr/>
          <w:p>
            <w:r>
              <w:t>Отчёт выдан</w:t>
            </w:r>
          </w:p>
        </w:tc>
        <w:tc>
          <w:tcPr/>
          <w:p>
            <w:r>
              <w:t>80%</w:t>
            </w:r>
          </w:p>
        </w:tc>
        <w:tc>
          <w:tcPr/>
          <w:p>
            <w:r>
              <w:t>Фото/видео и список работ у клиента</w:t>
            </w:r>
          </w:p>
        </w:tc>
      </w:tr>
      <w:tr>
        <w:tc>
          <w:tcPr/>
          <w:p>
            <w:r>
              <w:t>Перешёл в пакет</w:t>
            </w:r>
          </w:p>
        </w:tc>
        <w:tc>
          <w:tcPr/>
          <w:p>
            <w:r>
              <w:t>100% (won)</w:t>
            </w:r>
          </w:p>
        </w:tc>
        <w:tc>
          <w:tcPr/>
          <w:p>
            <w:r>
              <w:t>Купил подписку, 20 000 зачтены</w:t>
            </w:r>
          </w:p>
        </w:tc>
      </w:tr>
      <w:tr>
        <w:tc>
          <w:tcPr/>
          <w:p>
            <w:r>
              <w:t>Не перешёл</w:t>
            </w:r>
          </w:p>
        </w:tc>
        <w:tc>
          <w:tcPr/>
          <w:p>
            <w:r>
              <w:t>0% (lost)</w:t>
            </w:r>
          </w:p>
        </w:tc>
        <w:tc>
          <w:tcPr/>
          <w:p>
            <w:r>
              <w:t>Тридцать дней прошли, зачёт сгорел</w:t>
            </w:r>
          </w:p>
        </w:tc>
      </w:tr>
    </w:tbl>
    <w:p>
      <w:r>
        <w:t>Схема работы такая: клиент, пришедший на осмотр, получает две сделки — одну в воронке Զննում, вторую в воронке пакетов на этапе «Консультация проведена», как только отчёт отдан. Конверсия между ними и есть главная метрика этого продукта.</w:t>
      </w:r>
    </w:p>
    <w:p>
      <w:pPr>
        <w:pStyle w:val="Heading2"/>
        <ck:id v="6"/>
      </w:pPr>
      <w:bookmarkStart w:id="6" w:name="_6"/>
      <w:r>
        <w:t>Шаг 6. Проверка</w:t>
      </w:r>
      <w:bookmarkEnd w:id="6"/>
    </w:p>
    <w:p>
      <w:r>
        <w:t>После настройки напишите мне одну строку. Я пройду по аккаунту, сверю поля и этапы с этим документом, заведу тестовую сделку по всему пути, чтобы убедиться, что переходы работают, и удалю её. Дальше можно подключать формы на сайте и заводить живые заявки.</w:t>
      </w:r>
    </w:p>
    <w:p>
      <w:pPr>
        <w:pStyle w:val="Heading2"/>
        <ck:id v="section"/>
      </w:pPr>
      <w:bookmarkStart w:id="7" w:name="section"/>
      <w:r>
        <w:t>Что осталось за скобками</w:t>
      </w:r>
      <w:bookmarkEnd w:id="7"/>
    </w:p>
    <w:p>
      <w:r>
        <w:t>Формы HubSpot я могу только читать — создавать их придётся вам или программистам, когда дойдёт до интеграции с сайтом. Счета и подписки тоже доступны только на чтение, но нам они пока не нужны: оплаты идут через эквайринг Америабанка, а не через HubSpot. Отчёты по атрибуции рекламных кампаний закрыты тарифом — вернёмся к ним, когда пойдут первые платные каналы и понадобится считать CAC.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