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"/>
      </w:pPr>
      <w:bookmarkStart w:id="0" w:name="memorycare"/>
      <w:r>
        <w:t>Техническое задание на платформу MemoryCare</w:t>
      </w:r>
      <w:bookmarkEnd w:id="0"/>
    </w:p>
    <w:p>
      <w:r>
        <w:t>Редакция 2.0 · 11 августа 2026 · заменяет первую версию</w:t>
      </w:r>
    </w:p>
    <w:p>
      <w:r>
        <w:t>Первая редакция задания уходила до того, как продукт изменился и до открытия счёта в банке. Эта версия учитывает и то, и другое. Изменения по сравнению с первой редакцией отмечены отдельно, чтобы вы могли быстро увидеть, что переделывать, а что осталось прежним.</w:t>
      </w:r>
    </w:p>
    <w:p>
      <w:r>
        <w:t>Договор: 1 200 000 драм, срок около 45 дней. Языки платформы: армянский, английский, русский. Подход mobile-first — наш клиент открывает сайт с телефона, часто из другого часового пояса.</w:t>
      </w:r>
    </w:p>
    <w:p>
      <w:pPr>
        <w:pStyle w:val="Heading2"/>
        <ck:id v="section"/>
      </w:pPr>
      <w:bookmarkStart w:id="1" w:name="section"/>
      <w:r>
        <w:t>Что изменилось с первой редакции</w:t>
      </w:r>
      <w:bookmarkEnd w:id="1"/>
    </w:p>
    <w:p>
      <w:r>
        <w:rPr>
          <w:b/>
        </w:rPr>
        <w:t>Продуктов теперь четыре, а не три.</w:t>
      </w:r>
      <w:r>
        <w:t xml:space="preserve"> Появился «Զննում» — разведывательный осмотр за 20 000 драм.</w:t>
      </w:r>
    </w:p>
    <w:p>
      <w:r>
        <w:rPr>
          <w:b/>
        </w:rPr>
        <w:t>«Максимум» пересобран</w:t>
      </w:r>
      <w:r>
        <w:t>: три глубоких визита и шесть лёгких, всего девять в год. Формулировка про ежемесячность больше не используется нигде.</w:t>
      </w:r>
    </w:p>
    <w:p>
      <w:r>
        <w:rPr>
          <w:b/>
        </w:rPr>
        <w:t>Механика реферала в «Семейном круге» изменена</w:t>
      </w:r>
      <w:r>
        <w:t>: вместо бесплатного лёгкого визита — доставка цветов к памятной дате с фотоотчётом.</w:t>
      </w:r>
    </w:p>
    <w:p>
      <w:r>
        <w:rPr>
          <w:b/>
        </w:rPr>
        <w:t>Счёт в Америабанке открыт, эквайринг подключается вместе с ним.</w:t>
      </w:r>
      <w:r>
        <w:t xml:space="preserve"> Принимаем Visa, Mastercard, Apple Pay, Google Pay и ArCa. Появился жёсткий чек-лист требований банка к сайту — раздел ниже.</w:t>
      </w:r>
    </w:p>
    <w:p>
      <w:r>
        <w:rPr>
          <w:b/>
        </w:rPr>
        <w:t>Появилось юридическое основание для работ</w:t>
      </w:r>
      <w:r>
        <w:t>, которого раньше не было: заключение юриста говорит, что операторов кладбищ в Армении нет и достаточно разрешения клиента. Это добавляет обязательный элемент в оформление подписки.</w:t>
      </w:r>
    </w:p>
    <w:p>
      <w:r>
        <w:rPr>
          <w:b/>
        </w:rPr>
        <w:t>У компании появилась CRM</w:t>
      </w:r>
      <w:r>
        <w:t xml:space="preserve"> — HubSpot. Заявки должны попадать туда.</w:t>
      </w:r>
    </w:p>
    <w:p>
      <w:pPr>
        <w:pStyle w:val="Heading2"/>
        <ck:id v="section-1"/>
      </w:pPr>
      <w:bookmarkStart w:id="2" w:name="section_1"/>
      <w:r>
        <w:t>Критический путь и порядок сдачи</w:t>
      </w:r>
      <w:bookmarkEnd w:id="2"/>
    </w:p>
    <w:p>
      <w:r>
        <w:t xml:space="preserve">Это важно понимать до планирования работ. Приём оплаты картой включается </w:t>
      </w:r>
      <w:r>
        <w:rPr>
          <w:b/>
        </w:rPr>
        <w:t>не в момент готовности сайта</w:t>
      </w:r>
      <w:r>
        <w:t>, а после того, как банк проверит сайт на соответствие своим требованиям. Проверка занимает время.</w:t>
      </w:r>
    </w:p>
    <w:p>
      <w:r>
        <w:t>Поэтому последовательность такая: сайт готов → сайт подаётся в банк на проверку → банк включает эквайринг → онлайн-продажи. Если сайт не пройдёт проверку с первого раза, мы потеряем недели на переделку и повторную подачу.</w:t>
      </w:r>
    </w:p>
    <w:p>
      <w:r>
        <w:rPr>
          <w:b/>
        </w:rPr>
        <w:t>Отсюда главное требование к приоритетам: раздел «Требования банка» ниже — это не пожелание, а условие приёмки.</w:t>
      </w:r>
      <w:r>
        <w:t xml:space="preserve"> Всё перечисленное там должно быть на сайте к моменту сдачи.</w:t>
      </w:r>
    </w:p>
    <w:p>
      <w:r>
        <w:t>Сентябрьский пилот из пяти-десяти визитов проходит без онлайн-оплаты, вручную. Это значит, что личный кабинет с отчётами нужен раньше, чем работающая оплата: первые клиенты уже будут смотреть свои отчёты, пока карты ещё не подключены.</w:t>
      </w:r>
    </w:p>
    <w:p>
      <w:pPr>
        <w:pStyle w:val="Heading2"/>
        <ck:id v="section-2"/>
      </w:pPr>
      <w:bookmarkStart w:id="3" w:name="section_2"/>
      <w:r>
        <w:t>Требования банка — условие приёмки</w:t>
      </w:r>
      <w:bookmarkEnd w:id="3"/>
    </w:p>
    <w:p>
      <w:r>
        <w:t>Америабанк предъявляет к сайту восемь требований. Ниже скриншот с их сайта, далее — что именно каждый пункт означает у нас.</w:t>
      </w:r>
    </w:p>
    <w:p>
      <w:r>
        <w:drawing>
          <wp:inline distT="0" distB="0" distL="0" distR="0">
            <wp:extent cx="5943600" cy="12882407"/>
            <wp:docPr id="1" name="Picture 1" descr="Требования Америабанка к сайту для подключения интернет-эквайр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pic="http://schemas.openxmlformats.org/drawingml/2006/picture" uri="http://schemas.openxmlformats.org/drawingml/2006/picture">
                <pic:pic xmlns:a="http://schemas.openxmlformats.org/drawingml/2006/main" xmlns:r="http://schemas.openxmlformats.org/officeDocument/2006/relationships">
                  <pic:nvPicPr>
                    <pic:cNvPr id="0" name="Picture 1" descr="Требования Америабанка к сайту для подключения интернет-эквайринга"/>
                    <pic:cNvPicPr>
                      <a:picLocks noChangeAspect="1"/>
                    </pic:cNvPicPr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>Раздел «О нас».</w:t>
      </w:r>
      <w:r>
        <w:t xml:space="preserve"> Отдельная страница с описанием компании: чем занимаемся, как работаем, юридическое наименование и реквизиты MemoryCare LLC.</w:t>
      </w:r>
    </w:p>
    <w:p>
      <w:r>
        <w:rPr>
          <w:b/>
        </w:rPr>
        <w:t>Контактные данные.</w:t>
      </w:r>
      <w:r>
        <w:t xml:space="preserve"> Телефон, электронная почта info@memorycare.am, физический адрес. В подвале каждой страницы, не только на отдельной. Реальные контакты появятся 11–12 августа, заглушки к сдаче недопустимы.</w:t>
      </w:r>
    </w:p>
    <w:p>
      <w:r>
        <w:rPr>
          <w:b/>
        </w:rPr>
        <w:t>Полное описание предлагаемых услуг.</w:t>
      </w:r>
      <w:r>
        <w:t xml:space="preserve"> Страница тарифов с четырьмя продуктами, где по каждому указано точное содержание: сколько визитов, каких именно, что входит в работу, в какой срок оказывается.</w:t>
      </w:r>
    </w:p>
    <w:p>
      <w:r>
        <w:rPr>
          <w:b/>
        </w:rPr>
        <w:t>Правовые ограничения.</w:t>
      </w:r>
      <w:r>
        <w:t xml:space="preserve"> Территория оказания услуги — кладбища Еревана и области. Требование к заказчику: он должен быть вправе распоряжаться участком. Текст даёт юрист, ваша часть — предусмотреть страницу и разместить.</w:t>
      </w:r>
    </w:p>
    <w:p>
      <w:r>
        <w:rPr>
          <w:b/>
        </w:rPr>
        <w:t>Реальные цены и валюта.</w:t>
      </w:r>
      <w:r>
        <w:t xml:space="preserve"> Цены в драмах. Если показываем суммы в долларах или евро, обязательно явное указание, что списание производится в драмах по курсу банка. Расхождение цены на витрине и в выписке по карте — типовая причина оспаривания платежа.</w:t>
      </w:r>
    </w:p>
    <w:p>
      <w:r>
        <w:rPr>
          <w:b/>
        </w:rPr>
        <w:t>Политика конфиденциальности.</w:t>
      </w:r>
      <w:r>
        <w:t xml:space="preserve"> Отдельная страница, обязательно на английском, поскольку клиенты в США и ЕС. Текст даёт юрист.</w:t>
      </w:r>
    </w:p>
    <w:p>
      <w:r>
        <w:rPr>
          <w:b/>
        </w:rPr>
        <w:t>Условия возврата и возмещения средств.</w:t>
      </w:r>
      <w:r>
        <w:t xml:space="preserve"> Пропорциональный возврат за неоказанные визиты, четырнадцатидневное право отказа для клиентов из ЕС, порядок подачи требования. Текст даёт юрист.</w:t>
      </w:r>
    </w:p>
    <w:p>
      <w:r>
        <w:rPr>
          <w:b/>
        </w:rPr>
        <w:t>Условия доставки.</w:t>
      </w:r>
      <w:r>
        <w:t xml:space="preserve"> В нашем случае — условия оказания услуги: в какой срок после оплаты происходит первый выезд, как согласуется график остальных визитов, что происходит при невозможности выезда (погода, ограничение доступа на кладбище). Текст даёт юрист, но логику расписания реализуете вы.</w:t>
      </w:r>
    </w:p>
    <w:p>
      <w:pPr>
        <w:pStyle w:val="Heading2"/>
        <ck:id v="section-3"/>
      </w:pPr>
      <w:bookmarkStart w:id="4" w:name="section_3"/>
      <w:r>
        <w:t>Продукты и оплата</w:t>
      </w:r>
      <w:bookmarkEnd w:id="4"/>
    </w:p>
    <w:p>
      <w:pPr>
        <w:pStyle w:val="Heading3"/>
        <ck:id v="section-4"/>
      </w:pPr>
      <w:bookmarkStart w:id="5" w:name="section_4"/>
      <w:r>
        <w:t>Четыре продукта</w:t>
      </w:r>
      <w:bookmarkEnd w:id="5"/>
    </w:p>
    <w:p>
      <w:r>
        <w:rPr>
          <w:b/>
        </w:rPr>
        <w:t>Զննում (Осмотр)</w:t>
      </w:r>
      <w:r>
        <w:t xml:space="preserve"> — 20 000 драм, разовая покупка. Один выезд, фото- и видеофиксация текущего состояния участка, список рекомендуемых работ с ценами. Уборка не производится. Сумма засчитывается в стоимость любого пакета при покупке в течение </w:t>
      </w:r>
      <w:r>
        <w:rPr>
          <w:b/>
        </w:rPr>
        <w:t>30 дней</w:t>
      </w:r>
      <w:r>
        <w:t xml:space="preserve">; зачёт должен применяться автоматически, а не по просьбе клиента. При выполнении осмотра в карточку клиента сохраняются </w:t>
      </w:r>
      <w:r>
        <w:rPr>
          <w:b/>
        </w:rPr>
        <w:t>GPS-координаты участка</w:t>
      </w:r>
      <w:r>
        <w:t xml:space="preserve"> — дальше рабочие бригады навигируются по точке и не тратят время на поиски.</w:t>
      </w:r>
    </w:p>
    <w:p>
      <w:r>
        <w:rPr>
          <w:b/>
        </w:rPr>
        <w:t>Էքսպրես խնամք (Экспресс)</w:t>
      </w:r>
      <w:r>
        <w:t xml:space="preserve"> — 60 000 драм. Один глубокий визит. Засчитывается в подписку в течение </w:t>
      </w:r>
      <w:r>
        <w:rPr>
          <w:b/>
        </w:rPr>
        <w:t>60 дней</w:t>
      </w:r>
      <w:r>
        <w:t xml:space="preserve">. Если клиент не перешёл на подписку за 60 дней, повторный Экспресс в том же календарном году продаётся ему автоматически по </w:t>
      </w:r>
      <w:r>
        <w:rPr>
          <w:b/>
        </w:rPr>
        <w:t>40 000 драм</w:t>
      </w:r>
      <w:r>
        <w:t xml:space="preserve"> — цена подставляется системой, менеджер вручную ничего не меняет.</w:t>
      </w:r>
    </w:p>
    <w:p>
      <w:r>
        <w:rPr>
          <w:b/>
        </w:rPr>
        <w:t>Օպտիմալ խնամք (Оптимальный)</w:t>
      </w:r>
      <w:r>
        <w:t xml:space="preserve"> — 180 000 драм. Два глубоких визита и четыре лёгких.</w:t>
      </w:r>
    </w:p>
    <w:p>
      <w:r>
        <w:rPr>
          <w:b/>
        </w:rPr>
        <w:t>Մաքսիմում խնամք (Максимум)</w:t>
      </w:r>
      <w:r>
        <w:t xml:space="preserve"> — 240 000 драм. Три глубоких визита и шесть лёгких, девять визитов в год.</w:t>
      </w:r>
    </w:p>
    <w:p>
      <w:pPr>
        <w:pStyle w:val="Heading3"/>
        <ck:id v="section-5"/>
      </w:pPr>
      <w:bookmarkStart w:id="6" w:name="section_5"/>
      <w:r>
        <w:t>Эквайринг</w:t>
      </w:r>
      <w:bookmarkEnd w:id="6"/>
    </w:p>
    <w:p>
      <w:r>
        <w:t>Приём Visa и Mastercard, включая карты, выпущенные в США, ЕС и России. Apple Pay и Google Pay. ArCa для местных клиентов. 3-D Secure с корректной работой на мобильных — это основной сценарий, а не запасной.</w:t>
      </w:r>
    </w:p>
    <w:p>
      <w:r>
        <w:rPr>
          <w:b/>
        </w:rPr>
        <w:t>Тестовые ключи запрашиваются у банка немедленно</w:t>
      </w:r>
      <w:r>
        <w:t>, не дожидаясь активации боевого эквайринга. Встраивание оплаты должно идти параллельно с остальной разработкой.</w:t>
      </w:r>
    </w:p>
    <w:p>
      <w:r>
        <w:t>Дескриптор в выписке по карте должен быть понятным: человек, увидев списание через месяц, должен понять, за что оно. Непонятный дескриптор — прямая дорога к оспариванию платежа.</w:t>
      </w:r>
    </w:p>
    <w:p>
      <w:r>
        <w:t>До релиза обязателен тест живыми картами США и ЕС, а не только тестовыми.</w:t>
      </w:r>
    </w:p>
    <w:p>
      <w:pPr>
        <w:pStyle w:val="Heading2"/>
        <ck:id v="section-6"/>
      </w:pPr>
      <w:bookmarkStart w:id="7" w:name="section_6"/>
      <w:r>
        <w:t>Отчёты — ядро продукта</w:t>
      </w:r>
      <w:bookmarkEnd w:id="7"/>
    </w:p>
    <w:p>
      <w:r>
        <w:t>Стоит сказать прямо: клиент из Лос-Анджелеса платит не за уборку, которую он всё равно проверить не может, а за доказательство того, что за могилой его родителей ухаживают. Этим доказательством является отчёт. Всё остальное в системе — обвязка вокруг него.</w:t>
      </w:r>
    </w:p>
    <w:p>
      <w:r>
        <w:rPr>
          <w:b/>
        </w:rPr>
        <w:t>Жёсткое правило: визит нельзя закрыть в системе, пока не загружены GPS-отметка, восемь фотографий и два видео.</w:t>
      </w:r>
      <w:r>
        <w:t xml:space="preserve"> Четыре фиксированных ракурса до работ и те же четыре после, снятые с тех же точек — приложение должно показывать бригаде кадр «до» как ориентир при съёмке кадра «после». Видеообход по двадцать-сорок секунд до и после.</w:t>
      </w:r>
    </w:p>
    <w:p>
      <w:r>
        <w:t>Автоматически фиксируются координаты и время съёмки. Отчёт публикуется в личном кабинете, клиенту уходит уведомление.</w:t>
      </w:r>
    </w:p>
    <w:p>
      <w:r>
        <w:t>Отдельный формат отчёта у «Զննում»: там нет пары «до и после», там состояние участка плюс список рекомендуемых работ с ценами. По сути это коммерческое предложение, оформленное как забота, и именно оно должно вести клиента к покупке пакета.</w:t>
      </w:r>
    </w:p>
    <w:p>
      <w:r>
        <w:t>Шаблон оформления отчёта даёт дизайнер. Нужны три варианта отображения: в личном кабинете, в письме, для социальных сетей.</w:t>
      </w:r>
    </w:p>
    <w:p>
      <w:pPr>
        <w:pStyle w:val="Heading2"/>
        <ck:id v="section-7"/>
      </w:pPr>
      <w:bookmarkStart w:id="8" w:name="section_7"/>
      <w:r>
        <w:t>Семейный круг</w:t>
      </w:r>
      <w:bookmarkEnd w:id="8"/>
    </w:p>
    <w:p>
      <w:r>
        <w:t>Функция запускается сразу, не переносится на второй этап — это наш дифференциатор.</w:t>
      </w:r>
    </w:p>
    <w:p>
      <w:r>
        <w:t>Владелец подписки приглашает родственников по ссылке. Приглашённые получают доступ к отчётам и могут заказывать разовые услуги. При первом входе субаккаунт принимает условия — текст даёт юрист. Субаккаунт должен иметь возможность превратиться в самостоятельного клиента со своей подпиской.</w:t>
      </w:r>
    </w:p>
    <w:p>
      <w:r>
        <w:rPr>
          <w:b/>
        </w:rPr>
        <w:t>Реферальная награда изменена:</w:t>
      </w:r>
      <w:r>
        <w:t xml:space="preserve"> за приглашённого родственника — доставка цветов к памятной дате с фотоотчётом. Прежняя механика с бесплатным лёгким визитом отменена, реализовывать её не нужно.</w:t>
      </w:r>
    </w:p>
    <w:p>
      <w:r>
        <w:t>Из этого следует, что в карточке клиента должно быть поле памятной даты — по нему система планирует и напоминает.</w:t>
      </w:r>
    </w:p>
    <w:p>
      <w:pPr>
        <w:pStyle w:val="Heading2"/>
        <ck:id v="section-8"/>
      </w:pPr>
      <w:bookmarkStart w:id="9" w:name="section_8"/>
      <w:r>
        <w:t>Разрешение клиента на работы</w:t>
      </w:r>
      <w:bookmarkEnd w:id="9"/>
    </w:p>
    <w:p>
      <w:r>
        <w:t>Новое требование, вытекающее из заключения юриста.</w:t>
      </w:r>
    </w:p>
    <w:p>
      <w:r>
        <w:t>Правовым основанием для наших работ является разрешение владельца участка. Значит при оформлении подписки клиент должен явно подтвердить, что вправе распоряжаться участком и поручает нам работы. Технически: отдельный обязательный чекбокс с сохранением текста согласия, даты, времени и IP-адреса. Не пункт внутри общей оферты, а самостоятельное действие — при семейном споре это будет нашим единственным доказательством.</w:t>
      </w:r>
    </w:p>
    <w:p>
      <w:r>
        <w:t>Отдельным чекбоксом, тоже самостоятельным, оформляется согласие на использование фотографий участка в маркетинге. Оно необязательное, отказ не должен мешать покупке.</w:t>
      </w:r>
    </w:p>
    <w:p>
      <w:pPr>
        <w:pStyle w:val="Heading2"/>
        <ck:id v="crm"/>
      </w:pPr>
      <w:bookmarkStart w:id="10" w:name="crm"/>
      <w:r>
        <w:t>Воронка и CRM</w:t>
      </w:r>
      <w:bookmarkEnd w:id="10"/>
    </w:p>
    <w:p>
      <w:r>
        <w:rPr>
          <w:b/>
        </w:rPr>
        <w:t>Главное целевое действие сайта — заявка на бесплатную консультацию</w:t>
      </w:r>
      <w:r>
        <w:t>, не прямая покупка. Годовая сумма для большинства клиентов немаленькая, и решение принимается после разговора. Онлайн-оплата остаётся, но вторым по приоритету действием.</w:t>
      </w:r>
    </w:p>
    <w:p>
      <w:r>
        <w:t xml:space="preserve">Форма заявки минимальна: имя и телефон или WhatsApp. </w:t>
      </w:r>
      <w:r>
        <w:rPr>
          <w:b/>
        </w:rPr>
        <w:t>Заявки должны попадать в HubSpot</w:t>
      </w:r>
      <w:r>
        <w:t xml:space="preserve"> — у компании настраивается CRM с воронкой. Способ интеграции на ваше усмотрение: встроенная форма HubSpot или собственная форма с передачей через API. Вместе с заявкой передаются UTM-метки и источник.</w:t>
      </w:r>
    </w:p>
    <w:p>
      <w:pPr>
        <w:pStyle w:val="Heading2"/>
        <ck:id v="section-9"/>
      </w:pPr>
      <w:bookmarkStart w:id="11" w:name="section_9"/>
      <w:r>
        <w:t>Личный кабинет и операционная консоль</w:t>
      </w:r>
      <w:bookmarkEnd w:id="11"/>
    </w:p>
    <w:p>
      <w:r>
        <w:rPr>
          <w:b/>
        </w:rPr>
        <w:t>Кабинет клиента:</w:t>
      </w:r>
      <w:r>
        <w:t xml:space="preserve"> активная подписка и её состав, график предстоящих визитов, история отчётов, статус текущего визита, смена тарифа, управление Семейным кругом.</w:t>
      </w:r>
    </w:p>
    <w:p>
      <w:r>
        <w:rPr>
          <w:b/>
        </w:rPr>
        <w:t>Консоль оператора:</w:t>
      </w:r>
      <w:r>
        <w:t xml:space="preserve"> календарь визитов, распределение по бригадам, карточка клиента с GPS-точкой участка, протокол визита в виде чек-листа внутри приложения — визит не закрывается, пока чек-лист не заполнен. Модерация отчётов: первые три месяца координатор проверяет все отчёты до отправки клиенту, значит нужен статус «на проверке» между загрузкой и публикацией.</w:t>
      </w:r>
    </w:p>
    <w:p>
      <w:pPr>
        <w:pStyle w:val="Heading2"/>
        <ck:id v="section-10"/>
      </w:pPr>
      <w:bookmarkStart w:id="12" w:name="section_10"/>
      <w:r>
        <w:t>Аналитика</w:t>
      </w:r>
      <w:bookmarkEnd w:id="12"/>
    </w:p>
    <w:p>
      <w:r>
        <w:t>Захват UTM-меток и источника лида. События воронки от заявки до оплаты. Дашборд стоимости привлечения по каналам.</w:t>
      </w:r>
    </w:p>
    <w:p>
      <w:r>
        <w:t xml:space="preserve">Отдельно и обязательно — две конверсии, которые для нас важнее всех прочих: </w:t>
      </w:r>
      <w:r>
        <w:rPr>
          <w:b/>
        </w:rPr>
        <w:t>Զննում → пакет</w:t>
      </w:r>
      <w:r>
        <w:t xml:space="preserve"> и </w:t>
      </w:r>
      <w:r>
        <w:rPr>
          <w:b/>
        </w:rPr>
        <w:t>Экспресс → подписка</w:t>
      </w:r>
      <w:r>
        <w:t>. На них строится вся продуктовая логика, и мы должны видеть их с первого дня.</w:t>
      </w:r>
    </w:p>
    <w:p>
      <w:pPr>
        <w:pStyle w:val="Heading2"/>
        <ck:id v="seo"/>
      </w:pPr>
      <w:bookmarkStart w:id="13" w:name="seo"/>
      <w:r>
        <w:t>Языки, письма, SEO</w:t>
      </w:r>
      <w:bookmarkEnd w:id="13"/>
    </w:p>
    <w:p>
      <w:r>
        <w:t>Три языка: армянский, английский, русский. Французский из планов убран.</w:t>
      </w:r>
    </w:p>
    <w:p>
      <w:r>
        <w:t>Письма: подтверждение оплаты, публикация отчёта, приглашение в Семейный круг, напоминание о продлении за 60 дней, напоминание об истечении срока зачёта Экспресса и Զննում.</w:t>
      </w:r>
    </w:p>
    <w:p>
      <w:r>
        <w:t>SEO-минимум: hreflang для трёх языков, карта сайта, скорость на мобильных. В англоязычных материалах обязательно добавлять уточнение категории — в США словосочетание memory care означает уход при деменции, и без пояснения нас будут находить не те люди.</w:t>
      </w:r>
    </w:p>
    <w:p>
      <w:pPr>
        <w:pStyle w:val="Heading2"/>
        <ck:id v="section-11"/>
      </w:pPr>
      <w:bookmarkStart w:id="14" w:name="section_11"/>
      <w:r>
        <w:t>Приёмка и передача</w:t>
      </w:r>
      <w:bookmarkEnd w:id="14"/>
    </w:p>
    <w:p>
      <w:r>
        <w:rPr>
          <w:b/>
        </w:rPr>
        <w:t>Приёмочный сценарий:</w:t>
      </w:r>
      <w:r>
        <w:t xml:space="preserve"> клиент из США оставляет заявку на консультацию, она появляется в HubSpot; после этого он оплачивает картой; бригада закрывает визит в приложении с GPS и полным комплектом фото и видео; клиент видит отчёт в личном кабинете и получает письмо.</w:t>
      </w:r>
    </w:p>
    <w:p>
      <w:r>
        <w:rPr>
          <w:b/>
        </w:rPr>
        <w:t>Отдельное условие приёмки:</w:t>
      </w:r>
      <w:r>
        <w:t xml:space="preserve"> сайт проходит проверку Америабанка по всем восьми требованиям.</w:t>
      </w:r>
    </w:p>
    <w:p>
      <w:r>
        <w:rPr>
          <w:b/>
        </w:rPr>
        <w:t>Передача кода:</w:t>
      </w:r>
      <w:r>
        <w:t xml:space="preserve"> репозиторий git передаётся компании как условие приёмки этапа, в соответствии с договором.</w:t>
      </w:r>
    </w:p>
    <w:p>
      <w:pPr>
        <w:pStyle w:val="Heading2"/>
        <ck:id v="section-12"/>
      </w:pPr>
      <w:bookmarkStart w:id="15" w:name="section_12"/>
      <w:r>
        <w:t>Что мы даём со своей стороны</w:t>
      </w:r>
      <w:bookmarkEnd w:id="15"/>
    </w:p>
    <w:p>
      <w:r>
        <w:t>Макеты от дизайнера: шаблон отчёта, страница тарифов с четырьмя продуктами, экраны кабинета и просмотра отчёта — приоритетно, раньше полного брендбука. Первый драфт ожидается 14 августа.</w:t>
      </w:r>
    </w:p>
    <w:p>
      <w:r>
        <w:t>Юридические тексты: оферта на трёх языках, политика конфиденциальности на английском, условия возврата, правовые ограничения, текст согласия для субаккаунтов — до 10 сентября.</w:t>
      </w:r>
    </w:p>
    <w:p>
      <w:r>
        <w:t>Тестовые и боевые ключи эквайринга от Америабанка.</w:t>
      </w:r>
    </w:p>
    <w:p>
      <w:r>
        <w:t>Реальные контакты: телефон и info@memorycare.am — с 11–12 августа.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