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Georgia" w:cs="Georgia" w:eastAsia="Georgia" w:hAnsi="Georgia"/>
          <w:b/>
          <w:bCs/>
          <w:color w:val="0A111F"/>
          <w:sz w:val="40"/>
          <w:szCs w:val="40"/>
        </w:rPr>
        <w:t xml:space="preserve">MEMORY CARE LLC</w:t>
      </w:r>
    </w:p>
    <w:p>
      <w:pPr>
        <w:spacing w:after="40" w:before="60"/>
      </w:pPr>
      <w:r>
        <w:rPr>
          <w:i/>
          <w:iCs/>
          <w:color w:val="B08D3B"/>
          <w:sz w:val="22"/>
          <w:szCs w:val="22"/>
        </w:rPr>
        <w:t xml:space="preserve">Бриф для бухгалтерии — факты по бизнесу для ведения учёта</w:t>
      </w:r>
    </w:p>
    <w:p>
      <w:pPr>
        <w:spacing w:after="300"/>
      </w:pPr>
      <w:r>
        <w:rPr>
          <w:color w:val="595959"/>
          <w:sz w:val="18"/>
          <w:szCs w:val="18"/>
        </w:rPr>
        <w:t xml:space="preserve">Август 2026 · подготовлено для передачи внешнему/штатному бухгалтеру</w:t>
      </w:r>
    </w:p>
    <w:p>
      <w:pPr>
        <w:pStyle w:val="Heading1"/>
        <w:pBdr>
          <w:bottom w:val="single" w:color="B08D3B" w:sz="6" w:space="4"/>
        </w:pBdr>
        <w:spacing w:after="200" w:before="420"/>
      </w:pPr>
      <w:r>
        <w:rPr>
          <w:b/>
          <w:bCs/>
          <w:color w:val="0A111F"/>
          <w:sz w:val="28"/>
          <w:szCs w:val="28"/>
        </w:rPr>
        <w:t xml:space="preserve">1. Юридические реквизиты</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00"/>
        <w:gridCol w:w="6050"/>
      </w:tblGrid>
      <w:tr>
        <w:trPr>
          <w:tblHeader/>
        </w:trPr>
        <w:tc>
          <w:tcPr>
            <w:tcW w:type="dxa" w:w="3300"/>
            <w:shd w:fill="0A111F" w:val="clear"/>
            <w:tcMar>
              <w:top w:type="dxa" w:w="90"/>
              <w:left w:type="dxa" w:w="110"/>
              <w:bottom w:type="dxa" w:w="90"/>
              <w:right w:type="dxa" w:w="110"/>
            </w:tcMar>
            <w:vAlign w:val="center"/>
          </w:tcPr>
          <w:p>
            <w:r>
              <w:rPr>
                <w:b/>
                <w:bCs/>
                <w:color w:val="FFFFFF"/>
                <w:sz w:val="19"/>
                <w:szCs w:val="19"/>
              </w:rPr>
              <w:t xml:space="preserve">Поле</w:t>
            </w:r>
          </w:p>
        </w:tc>
        <w:tc>
          <w:tcPr>
            <w:tcW w:type="dxa" w:w="6050"/>
            <w:shd w:fill="0A111F" w:val="clear"/>
            <w:tcMar>
              <w:top w:type="dxa" w:w="90"/>
              <w:left w:type="dxa" w:w="110"/>
              <w:bottom w:type="dxa" w:w="90"/>
              <w:right w:type="dxa" w:w="110"/>
            </w:tcMar>
            <w:vAlign w:val="center"/>
          </w:tcPr>
          <w:p>
            <w:r>
              <w:rPr>
                <w:b/>
                <w:bCs/>
                <w:color w:val="FFFFFF"/>
                <w:sz w:val="19"/>
                <w:szCs w:val="19"/>
              </w:rPr>
              <w:t xml:space="preserve">Значение</w:t>
            </w:r>
          </w:p>
        </w:tc>
      </w:tr>
      <w:tr>
        <w:tc>
          <w:tcPr>
            <w:tcW w:type="dxa" w:w="3300"/>
            <w:shd w:fill="FFFFFF" w:val="clear"/>
            <w:tcMar>
              <w:top w:type="dxa" w:w="90"/>
              <w:left w:type="dxa" w:w="110"/>
              <w:bottom w:type="dxa" w:w="90"/>
              <w:right w:type="dxa" w:w="110"/>
            </w:tcMar>
            <w:vAlign w:val="center"/>
          </w:tcPr>
          <w:p>
            <w:r>
              <w:rPr>
                <w:b w:val="false"/>
                <w:bCs w:val="false"/>
                <w:color w:val="222222"/>
                <w:sz w:val="19"/>
                <w:szCs w:val="19"/>
              </w:rPr>
              <w:t xml:space="preserve">Юридическое наименование</w:t>
            </w:r>
          </w:p>
        </w:tc>
        <w:tc>
          <w:tcPr>
            <w:tcW w:type="dxa" w:w="6050"/>
            <w:shd w:fill="FFFFFF" w:val="clear"/>
            <w:tcMar>
              <w:top w:type="dxa" w:w="90"/>
              <w:left w:type="dxa" w:w="110"/>
              <w:bottom w:type="dxa" w:w="90"/>
              <w:right w:type="dxa" w:w="110"/>
            </w:tcMar>
            <w:vAlign w:val="center"/>
          </w:tcPr>
          <w:p>
            <w:r>
              <w:rPr>
                <w:b w:val="false"/>
                <w:bCs w:val="false"/>
                <w:color w:val="222222"/>
                <w:sz w:val="19"/>
                <w:szCs w:val="19"/>
              </w:rPr>
              <w:t xml:space="preserve">Memory Care LLC</w:t>
            </w:r>
          </w:p>
        </w:tc>
      </w:tr>
      <w:tr>
        <w:tc>
          <w:tcPr>
            <w:tcW w:type="dxa" w:w="3300"/>
            <w:shd w:fill="F7F3EA" w:val="clear"/>
            <w:tcMar>
              <w:top w:type="dxa" w:w="90"/>
              <w:left w:type="dxa" w:w="110"/>
              <w:bottom w:type="dxa" w:w="90"/>
              <w:right w:type="dxa" w:w="110"/>
            </w:tcMar>
            <w:vAlign w:val="center"/>
          </w:tcPr>
          <w:p>
            <w:r>
              <w:rPr>
                <w:b w:val="false"/>
                <w:bCs w:val="false"/>
                <w:color w:val="222222"/>
                <w:sz w:val="19"/>
                <w:szCs w:val="19"/>
              </w:rPr>
              <w:t xml:space="preserve">Страна регистрации</w:t>
            </w:r>
          </w:p>
        </w:tc>
        <w:tc>
          <w:tcPr>
            <w:tcW w:type="dxa" w:w="6050"/>
            <w:shd w:fill="F7F3EA" w:val="clear"/>
            <w:tcMar>
              <w:top w:type="dxa" w:w="90"/>
              <w:left w:type="dxa" w:w="110"/>
              <w:bottom w:type="dxa" w:w="90"/>
              <w:right w:type="dxa" w:w="110"/>
            </w:tcMar>
            <w:vAlign w:val="center"/>
          </w:tcPr>
          <w:p>
            <w:r>
              <w:rPr>
                <w:b w:val="false"/>
                <w:bCs w:val="false"/>
                <w:color w:val="222222"/>
                <w:sz w:val="19"/>
                <w:szCs w:val="19"/>
              </w:rPr>
              <w:t xml:space="preserve">Армения</w:t>
            </w:r>
          </w:p>
        </w:tc>
      </w:tr>
      <w:tr>
        <w:tc>
          <w:tcPr>
            <w:tcW w:type="dxa" w:w="3300"/>
            <w:shd w:fill="FFFFFF" w:val="clear"/>
            <w:tcMar>
              <w:top w:type="dxa" w:w="90"/>
              <w:left w:type="dxa" w:w="110"/>
              <w:bottom w:type="dxa" w:w="90"/>
              <w:right w:type="dxa" w:w="110"/>
            </w:tcMar>
            <w:vAlign w:val="center"/>
          </w:tcPr>
          <w:p>
            <w:r>
              <w:rPr>
                <w:b w:val="false"/>
                <w:bCs w:val="false"/>
                <w:color w:val="222222"/>
                <w:sz w:val="19"/>
                <w:szCs w:val="19"/>
              </w:rPr>
              <w:t xml:space="preserve">Статус регистрации</w:t>
            </w:r>
          </w:p>
        </w:tc>
        <w:tc>
          <w:tcPr>
            <w:tcW w:type="dxa" w:w="6050"/>
            <w:shd w:fill="FFFFFF" w:val="clear"/>
            <w:tcMar>
              <w:top w:type="dxa" w:w="90"/>
              <w:left w:type="dxa" w:w="110"/>
              <w:bottom w:type="dxa" w:w="90"/>
              <w:right w:type="dxa" w:w="110"/>
            </w:tcMar>
            <w:vAlign w:val="center"/>
          </w:tcPr>
          <w:p>
            <w:r>
              <w:rPr>
                <w:b w:val="false"/>
                <w:bCs w:val="false"/>
                <w:color w:val="222222"/>
                <w:sz w:val="19"/>
                <w:szCs w:val="19"/>
              </w:rPr>
              <w:t xml:space="preserve">Зарегистрирована</w:t>
            </w:r>
          </w:p>
        </w:tc>
      </w:tr>
      <w:tr>
        <w:tc>
          <w:tcPr>
            <w:tcW w:type="dxa" w:w="3300"/>
            <w:shd w:fill="F7F3EA" w:val="clear"/>
            <w:tcMar>
              <w:top w:type="dxa" w:w="90"/>
              <w:left w:type="dxa" w:w="110"/>
              <w:bottom w:type="dxa" w:w="90"/>
              <w:right w:type="dxa" w:w="110"/>
            </w:tcMar>
            <w:vAlign w:val="center"/>
          </w:tcPr>
          <w:p>
            <w:r>
              <w:rPr>
                <w:b w:val="false"/>
                <w:bCs w:val="false"/>
                <w:color w:val="222222"/>
                <w:sz w:val="19"/>
                <w:szCs w:val="19"/>
              </w:rPr>
              <w:t xml:space="preserve">Юридический адрес</w:t>
            </w:r>
          </w:p>
        </w:tc>
        <w:tc>
          <w:tcPr>
            <w:tcW w:type="dxa" w:w="6050"/>
            <w:shd w:fill="F7F3EA" w:val="clear"/>
            <w:tcMar>
              <w:top w:type="dxa" w:w="90"/>
              <w:left w:type="dxa" w:w="110"/>
              <w:bottom w:type="dxa" w:w="90"/>
              <w:right w:type="dxa" w:w="110"/>
            </w:tcMar>
            <w:vAlign w:val="center"/>
          </w:tcPr>
          <w:p>
            <w:r>
              <w:rPr>
                <w:b w:val="false"/>
                <w:bCs w:val="false"/>
                <w:color w:val="222222"/>
                <w:sz w:val="19"/>
                <w:szCs w:val="19"/>
              </w:rPr>
              <w:t xml:space="preserve">0051, ул. Комитаса 47/1, зд. 9, Ереван</w:t>
            </w:r>
          </w:p>
        </w:tc>
      </w:tr>
      <w:tr>
        <w:tc>
          <w:tcPr>
            <w:tcW w:type="dxa" w:w="3300"/>
            <w:shd w:fill="FFFFFF" w:val="clear"/>
            <w:tcMar>
              <w:top w:type="dxa" w:w="90"/>
              <w:left w:type="dxa" w:w="110"/>
              <w:bottom w:type="dxa" w:w="90"/>
              <w:right w:type="dxa" w:w="110"/>
            </w:tcMar>
            <w:vAlign w:val="center"/>
          </w:tcPr>
          <w:p>
            <w:r>
              <w:rPr>
                <w:b w:val="false"/>
                <w:bCs w:val="false"/>
                <w:color w:val="222222"/>
                <w:sz w:val="19"/>
                <w:szCs w:val="19"/>
              </w:rPr>
              <w:t xml:space="preserve">Налоговый / регистрационный номер</w:t>
            </w:r>
          </w:p>
        </w:tc>
        <w:tc>
          <w:tcPr>
            <w:tcW w:type="dxa" w:w="6050"/>
            <w:shd w:fill="FFFFFF" w:val="clear"/>
            <w:tcMar>
              <w:top w:type="dxa" w:w="90"/>
              <w:left w:type="dxa" w:w="110"/>
              <w:bottom w:type="dxa" w:w="90"/>
              <w:right w:type="dxa" w:w="110"/>
            </w:tcMar>
            <w:vAlign w:val="center"/>
          </w:tcPr>
          <w:p>
            <w:r>
              <w:rPr>
                <w:b w:val="false"/>
                <w:bCs w:val="false"/>
                <w:color w:val="222222"/>
                <w:sz w:val="19"/>
                <w:szCs w:val="19"/>
              </w:rPr>
              <w:t xml:space="preserve">⚠ уточняется у юриста — нужен для всех дальнейших документов</w:t>
            </w:r>
          </w:p>
        </w:tc>
      </w:tr>
      <w:tr>
        <w:tc>
          <w:tcPr>
            <w:tcW w:type="dxa" w:w="3300"/>
            <w:shd w:fill="F7F3EA" w:val="clear"/>
            <w:tcMar>
              <w:top w:type="dxa" w:w="90"/>
              <w:left w:type="dxa" w:w="110"/>
              <w:bottom w:type="dxa" w:w="90"/>
              <w:right w:type="dxa" w:w="110"/>
            </w:tcMar>
            <w:vAlign w:val="center"/>
          </w:tcPr>
          <w:p>
            <w:r>
              <w:rPr>
                <w:b w:val="false"/>
                <w:bCs w:val="false"/>
                <w:color w:val="222222"/>
                <w:sz w:val="19"/>
                <w:szCs w:val="19"/>
              </w:rPr>
              <w:t xml:space="preserve">Банковский счёт</w:t>
            </w:r>
          </w:p>
        </w:tc>
        <w:tc>
          <w:tcPr>
            <w:tcW w:type="dxa" w:w="6050"/>
            <w:shd w:fill="F7F3EA" w:val="clear"/>
            <w:tcMar>
              <w:top w:type="dxa" w:w="90"/>
              <w:left w:type="dxa" w:w="110"/>
              <w:bottom w:type="dxa" w:w="90"/>
              <w:right w:type="dxa" w:w="110"/>
            </w:tcMar>
            <w:vAlign w:val="center"/>
          </w:tcPr>
          <w:p>
            <w:r>
              <w:rPr>
                <w:b w:val="false"/>
                <w:bCs w:val="false"/>
                <w:color w:val="222222"/>
                <w:sz w:val="19"/>
                <w:szCs w:val="19"/>
              </w:rPr>
              <w:t xml:space="preserve">Пока не открыт. Планируются Инекобанк или Америабанк</w:t>
            </w:r>
          </w:p>
        </w:tc>
      </w:tr>
      <w:tr>
        <w:tc>
          <w:tcPr>
            <w:tcW w:type="dxa" w:w="3300"/>
            <w:shd w:fill="FFFFFF" w:val="clear"/>
            <w:tcMar>
              <w:top w:type="dxa" w:w="90"/>
              <w:left w:type="dxa" w:w="110"/>
              <w:bottom w:type="dxa" w:w="90"/>
              <w:right w:type="dxa" w:w="110"/>
            </w:tcMar>
            <w:vAlign w:val="center"/>
          </w:tcPr>
          <w:p>
            <w:r>
              <w:rPr>
                <w:b w:val="false"/>
                <w:bCs w:val="false"/>
                <w:color w:val="222222"/>
                <w:sz w:val="19"/>
                <w:szCs w:val="19"/>
              </w:rPr>
              <w:t xml:space="preserve">Учредители — юридически</w:t>
            </w:r>
          </w:p>
        </w:tc>
        <w:tc>
          <w:tcPr>
            <w:tcW w:type="dxa" w:w="6050"/>
            <w:shd w:fill="FFFFFF" w:val="clear"/>
            <w:tcMar>
              <w:top w:type="dxa" w:w="90"/>
              <w:left w:type="dxa" w:w="110"/>
              <w:bottom w:type="dxa" w:w="90"/>
              <w:right w:type="dxa" w:w="110"/>
            </w:tcMar>
            <w:vAlign w:val="center"/>
          </w:tcPr>
          <w:p>
            <w:r>
              <w:rPr>
                <w:b w:val="false"/>
                <w:bCs w:val="false"/>
                <w:color w:val="222222"/>
                <w:sz w:val="19"/>
                <w:szCs w:val="19"/>
              </w:rPr>
              <w:t xml:space="preserve">David Hambardzumyan — 100%</w:t>
            </w:r>
          </w:p>
        </w:tc>
      </w:tr>
      <w:tr>
        <w:tc>
          <w:tcPr>
            <w:tcW w:type="dxa" w:w="3300"/>
            <w:shd w:fill="F7F3EA" w:val="clear"/>
            <w:tcMar>
              <w:top w:type="dxa" w:w="90"/>
              <w:left w:type="dxa" w:w="110"/>
              <w:bottom w:type="dxa" w:w="90"/>
              <w:right w:type="dxa" w:w="110"/>
            </w:tcMar>
            <w:vAlign w:val="center"/>
          </w:tcPr>
          <w:p>
            <w:r>
              <w:rPr>
                <w:b w:val="false"/>
                <w:bCs w:val="false"/>
                <w:color w:val="222222"/>
                <w:sz w:val="19"/>
                <w:szCs w:val="19"/>
              </w:rPr>
              <w:t xml:space="preserve">Учредители — фактическая договорённость</w:t>
            </w:r>
          </w:p>
        </w:tc>
        <w:tc>
          <w:tcPr>
            <w:tcW w:type="dxa" w:w="6050"/>
            <w:shd w:fill="F7F3EA" w:val="clear"/>
            <w:tcMar>
              <w:top w:type="dxa" w:w="90"/>
              <w:left w:type="dxa" w:w="110"/>
              <w:bottom w:type="dxa" w:w="90"/>
              <w:right w:type="dxa" w:w="110"/>
            </w:tcMar>
            <w:vAlign w:val="center"/>
          </w:tcPr>
          <w:p>
            <w:r>
              <w:rPr>
                <w:b w:val="false"/>
                <w:bCs w:val="false"/>
                <w:color w:val="222222"/>
                <w:sz w:val="19"/>
                <w:szCs w:val="19"/>
              </w:rPr>
              <w:t xml:space="preserve">David Hambardzumyan — 70%; Hayk Manukyan — 30% (David юридически передаст долю позже, пока это устная договорённость между партнёрами, без письменного оформления)</w:t>
            </w:r>
          </w:p>
        </w:tc>
      </w:tr>
    </w:tbl>
    <w:p>
      <w:pPr>
        <w:pBdr>
          <w:left w:val="single" w:color="B08D3B" w:sz="18" w:space="8"/>
        </w:pBdr>
        <w:shd w:fill="FBF0DA" w:val="clear"/>
        <w:spacing w:after="140" w:line="270"/>
        <w:ind w:left="120"/>
      </w:pPr>
      <w:r>
        <w:rPr>
          <w:i/>
          <w:iCs/>
          <w:color w:val="6B5416"/>
          <w:sz w:val="19"/>
          <w:szCs w:val="19"/>
        </w:rPr>
        <w:t xml:space="preserve">⚠ Налоговый номер всё ещё не получен от юриста. Важно для бухгалтера: юридически компания на 100% принадлежит David — все официальные документы, скорее всего, будут отражать только его. Фактическая договорённость о 30% Hayk существует вне корпоративных документов компании и не должна путаться с бухгалтерским/налоговым учётом самой компании, пока не оформлена официально.</w:t>
      </w:r>
    </w:p>
    <w:p>
      <w:pPr>
        <w:pStyle w:val="Heading1"/>
        <w:pBdr>
          <w:bottom w:val="single" w:color="B08D3B" w:sz="6" w:space="4"/>
        </w:pBdr>
        <w:spacing w:after="200" w:before="420"/>
      </w:pPr>
      <w:r>
        <w:rPr>
          <w:b/>
          <w:bCs/>
          <w:color w:val="0A111F"/>
          <w:sz w:val="28"/>
          <w:szCs w:val="28"/>
        </w:rPr>
        <w:t xml:space="preserve">2. Модель бизнеса — коротко</w:t>
      </w:r>
    </w:p>
    <w:p>
      <w:pPr>
        <w:spacing w:after="140" w:line="290"/>
      </w:pPr>
      <w:r>
        <w:rPr>
          <w:color w:val="222222"/>
          <w:sz w:val="21"/>
          <w:szCs w:val="21"/>
        </w:rPr>
        <w:t xml:space="preserve">Подписочный сервис ухода за захоронениями в Армении (уборка, мониторинг, мелкий ремонт) с фото/видео отчётностью. Три годовых тарифа плюс отдельный продукт — QR-страница памяти (см. раздел 6).</w:t>
      </w:r>
    </w:p>
    <w:p>
      <w:pPr>
        <w:pStyle w:val="Heading1"/>
        <w:pBdr>
          <w:bottom w:val="single" w:color="B08D3B" w:sz="6" w:space="4"/>
        </w:pBdr>
        <w:spacing w:after="200" w:before="420"/>
      </w:pPr>
      <w:r>
        <w:rPr>
          <w:b/>
          <w:bCs/>
          <w:color w:val="0A111F"/>
          <w:sz w:val="28"/>
          <w:szCs w:val="28"/>
        </w:rPr>
        <w:t xml:space="preserve">3. Источники выручки и открытый вопрос признания дохода</w:t>
      </w:r>
    </w:p>
    <w:p>
      <w:pPr>
        <w:pStyle w:val="Heading2"/>
        <w:spacing w:after="120" w:before="260"/>
      </w:pPr>
      <w:r>
        <w:rPr>
          <w:b/>
          <w:bCs/>
          <w:color w:val="0A111F"/>
          <w:sz w:val="22"/>
          <w:szCs w:val="22"/>
        </w:rPr>
        <w:t xml:space="preserve">3.1 Тарифы</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200"/>
        <w:gridCol w:w="1950"/>
      </w:tblGrid>
      <w:tr>
        <w:trPr>
          <w:tblHeader/>
        </w:trPr>
        <w:tc>
          <w:tcPr>
            <w:tcW w:type="dxa" w:w="3000"/>
            <w:shd w:fill="0A111F" w:val="clear"/>
            <w:tcMar>
              <w:top w:type="dxa" w:w="90"/>
              <w:left w:type="dxa" w:w="110"/>
              <w:bottom w:type="dxa" w:w="90"/>
              <w:right w:type="dxa" w:w="110"/>
            </w:tcMar>
            <w:vAlign w:val="center"/>
          </w:tcPr>
          <w:p>
            <w:r>
              <w:rPr>
                <w:b/>
                <w:bCs/>
                <w:color w:val="FFFFFF"/>
                <w:sz w:val="19"/>
                <w:szCs w:val="19"/>
              </w:rPr>
              <w:t xml:space="preserve">Тариф</w:t>
            </w:r>
          </w:p>
        </w:tc>
        <w:tc>
          <w:tcPr>
            <w:tcW w:type="dxa" w:w="2200"/>
            <w:shd w:fill="0A111F" w:val="clear"/>
            <w:tcMar>
              <w:top w:type="dxa" w:w="90"/>
              <w:left w:type="dxa" w:w="110"/>
              <w:bottom w:type="dxa" w:w="90"/>
              <w:right w:type="dxa" w:w="110"/>
            </w:tcMar>
            <w:vAlign w:val="center"/>
          </w:tcPr>
          <w:p>
            <w:r>
              <w:rPr>
                <w:b/>
                <w:bCs/>
                <w:color w:val="FFFFFF"/>
                <w:sz w:val="19"/>
                <w:szCs w:val="19"/>
              </w:rPr>
              <w:t xml:space="preserve">Цена, ֏</w:t>
            </w:r>
          </w:p>
        </w:tc>
        <w:tc>
          <w:tcPr>
            <w:tcW w:type="dxa" w:w="2200"/>
            <w:shd w:fill="0A111F" w:val="clear"/>
            <w:tcMar>
              <w:top w:type="dxa" w:w="90"/>
              <w:left w:type="dxa" w:w="110"/>
              <w:bottom w:type="dxa" w:w="90"/>
              <w:right w:type="dxa" w:w="110"/>
            </w:tcMar>
            <w:vAlign w:val="center"/>
          </w:tcPr>
          <w:p>
            <w:r>
              <w:rPr>
                <w:b/>
                <w:bCs/>
                <w:color w:val="FFFFFF"/>
                <w:sz w:val="19"/>
                <w:szCs w:val="19"/>
              </w:rPr>
              <w:t xml:space="preserve">Визитов/год</w:t>
            </w:r>
          </w:p>
        </w:tc>
        <w:tc>
          <w:tcPr>
            <w:tcW w:type="dxa" w:w="1950"/>
            <w:shd w:fill="0A111F" w:val="clear"/>
            <w:tcMar>
              <w:top w:type="dxa" w:w="90"/>
              <w:left w:type="dxa" w:w="110"/>
              <w:bottom w:type="dxa" w:w="90"/>
              <w:right w:type="dxa" w:w="110"/>
            </w:tcMar>
            <w:vAlign w:val="center"/>
          </w:tcPr>
          <w:p>
            <w:r>
              <w:rPr>
                <w:b/>
                <w:bCs/>
                <w:color w:val="FFFFFF"/>
                <w:sz w:val="19"/>
                <w:szCs w:val="19"/>
              </w:rPr>
              <w:t xml:space="preserve">Доля клиентов</w:t>
            </w:r>
          </w:p>
        </w:tc>
      </w:tr>
      <w:tr>
        <w:tc>
          <w:tcPr>
            <w:tcW w:type="dxa" w:w="3000"/>
            <w:shd w:fill="FFFFFF" w:val="clear"/>
            <w:tcMar>
              <w:top w:type="dxa" w:w="90"/>
              <w:left w:type="dxa" w:w="110"/>
              <w:bottom w:type="dxa" w:w="90"/>
              <w:right w:type="dxa" w:w="110"/>
            </w:tcMar>
            <w:vAlign w:val="center"/>
          </w:tcPr>
          <w:p>
            <w:r>
              <w:rPr>
                <w:b w:val="false"/>
                <w:bCs w:val="false"/>
                <w:color w:val="222222"/>
                <w:sz w:val="19"/>
                <w:szCs w:val="19"/>
              </w:rPr>
              <w:t xml:space="preserve">Экспресс (разовый)</w:t>
            </w:r>
          </w:p>
        </w:tc>
        <w:tc>
          <w:tcPr>
            <w:tcW w:type="dxa" w:w="2200"/>
            <w:shd w:fill="FFFFFF" w:val="clear"/>
            <w:tcMar>
              <w:top w:type="dxa" w:w="90"/>
              <w:left w:type="dxa" w:w="110"/>
              <w:bottom w:type="dxa" w:w="90"/>
              <w:right w:type="dxa" w:w="110"/>
            </w:tcMar>
            <w:vAlign w:val="center"/>
          </w:tcPr>
          <w:p>
            <w:r>
              <w:rPr>
                <w:b w:val="false"/>
                <w:bCs w:val="false"/>
                <w:color w:val="222222"/>
                <w:sz w:val="19"/>
                <w:szCs w:val="19"/>
              </w:rPr>
              <w:t xml:space="preserve">80 000</w:t>
            </w:r>
          </w:p>
        </w:tc>
        <w:tc>
          <w:tcPr>
            <w:tcW w:type="dxa" w:w="2200"/>
            <w:shd w:fill="FFFFFF" w:val="clear"/>
            <w:tcMar>
              <w:top w:type="dxa" w:w="90"/>
              <w:left w:type="dxa" w:w="110"/>
              <w:bottom w:type="dxa" w:w="90"/>
              <w:right w:type="dxa" w:w="110"/>
            </w:tcMar>
            <w:vAlign w:val="center"/>
          </w:tcPr>
          <w:p>
            <w:r>
              <w:rPr>
                <w:b w:val="false"/>
                <w:bCs w:val="false"/>
                <w:color w:val="222222"/>
                <w:sz w:val="19"/>
                <w:szCs w:val="19"/>
              </w:rPr>
              <w:t xml:space="preserve">1</w:t>
            </w:r>
          </w:p>
        </w:tc>
        <w:tc>
          <w:tcPr>
            <w:tcW w:type="dxa" w:w="1950"/>
            <w:shd w:fill="FFFFFF" w:val="clear"/>
            <w:tcMar>
              <w:top w:type="dxa" w:w="90"/>
              <w:left w:type="dxa" w:w="110"/>
              <w:bottom w:type="dxa" w:w="90"/>
              <w:right w:type="dxa" w:w="110"/>
            </w:tcMar>
            <w:vAlign w:val="center"/>
          </w:tcPr>
          <w:p>
            <w:r>
              <w:rPr>
                <w:b w:val="false"/>
                <w:bCs w:val="false"/>
                <w:color w:val="222222"/>
                <w:sz w:val="19"/>
                <w:szCs w:val="19"/>
              </w:rPr>
              <w:t xml:space="preserve">15%</w:t>
            </w:r>
          </w:p>
        </w:tc>
      </w:tr>
      <w:tr>
        <w:tc>
          <w:tcPr>
            <w:tcW w:type="dxa" w:w="3000"/>
            <w:shd w:fill="F7F3EA" w:val="clear"/>
            <w:tcMar>
              <w:top w:type="dxa" w:w="90"/>
              <w:left w:type="dxa" w:w="110"/>
              <w:bottom w:type="dxa" w:w="90"/>
              <w:right w:type="dxa" w:w="110"/>
            </w:tcMar>
            <w:vAlign w:val="center"/>
          </w:tcPr>
          <w:p>
            <w:r>
              <w:rPr>
                <w:b w:val="false"/>
                <w:bCs w:val="false"/>
                <w:color w:val="222222"/>
                <w:sz w:val="19"/>
                <w:szCs w:val="19"/>
              </w:rPr>
              <w:t xml:space="preserve">Оптимальный</w:t>
            </w:r>
          </w:p>
        </w:tc>
        <w:tc>
          <w:tcPr>
            <w:tcW w:type="dxa" w:w="2200"/>
            <w:shd w:fill="F7F3EA" w:val="clear"/>
            <w:tcMar>
              <w:top w:type="dxa" w:w="90"/>
              <w:left w:type="dxa" w:w="110"/>
              <w:bottom w:type="dxa" w:w="90"/>
              <w:right w:type="dxa" w:w="110"/>
            </w:tcMar>
            <w:vAlign w:val="center"/>
          </w:tcPr>
          <w:p>
            <w:r>
              <w:rPr>
                <w:b w:val="false"/>
                <w:bCs w:val="false"/>
                <w:color w:val="222222"/>
                <w:sz w:val="19"/>
                <w:szCs w:val="19"/>
              </w:rPr>
              <w:t xml:space="preserve">180 000</w:t>
            </w:r>
          </w:p>
        </w:tc>
        <w:tc>
          <w:tcPr>
            <w:tcW w:type="dxa" w:w="2200"/>
            <w:shd w:fill="F7F3EA" w:val="clear"/>
            <w:tcMar>
              <w:top w:type="dxa" w:w="90"/>
              <w:left w:type="dxa" w:w="110"/>
              <w:bottom w:type="dxa" w:w="90"/>
              <w:right w:type="dxa" w:w="110"/>
            </w:tcMar>
            <w:vAlign w:val="center"/>
          </w:tcPr>
          <w:p>
            <w:r>
              <w:rPr>
                <w:b w:val="false"/>
                <w:bCs w:val="false"/>
                <w:color w:val="222222"/>
                <w:sz w:val="19"/>
                <w:szCs w:val="19"/>
              </w:rPr>
              <w:t xml:space="preserve">6</w:t>
            </w:r>
          </w:p>
        </w:tc>
        <w:tc>
          <w:tcPr>
            <w:tcW w:type="dxa" w:w="1950"/>
            <w:shd w:fill="F7F3EA" w:val="clear"/>
            <w:tcMar>
              <w:top w:type="dxa" w:w="90"/>
              <w:left w:type="dxa" w:w="110"/>
              <w:bottom w:type="dxa" w:w="90"/>
              <w:right w:type="dxa" w:w="110"/>
            </w:tcMar>
            <w:vAlign w:val="center"/>
          </w:tcPr>
          <w:p>
            <w:r>
              <w:rPr>
                <w:b w:val="false"/>
                <w:bCs w:val="false"/>
                <w:color w:val="222222"/>
                <w:sz w:val="19"/>
                <w:szCs w:val="19"/>
              </w:rPr>
              <w:t xml:space="preserve">55%</w:t>
            </w:r>
          </w:p>
        </w:tc>
      </w:tr>
      <w:tr>
        <w:tc>
          <w:tcPr>
            <w:tcW w:type="dxa" w:w="3000"/>
            <w:shd w:fill="FFFFFF" w:val="clear"/>
            <w:tcMar>
              <w:top w:type="dxa" w:w="90"/>
              <w:left w:type="dxa" w:w="110"/>
              <w:bottom w:type="dxa" w:w="90"/>
              <w:right w:type="dxa" w:w="110"/>
            </w:tcMar>
            <w:vAlign w:val="center"/>
          </w:tcPr>
          <w:p>
            <w:r>
              <w:rPr>
                <w:b w:val="false"/>
                <w:bCs w:val="false"/>
                <w:color w:val="222222"/>
                <w:sz w:val="19"/>
                <w:szCs w:val="19"/>
              </w:rPr>
              <w:t xml:space="preserve">Максимум</w:t>
            </w:r>
          </w:p>
        </w:tc>
        <w:tc>
          <w:tcPr>
            <w:tcW w:type="dxa" w:w="2200"/>
            <w:shd w:fill="FFFFFF" w:val="clear"/>
            <w:tcMar>
              <w:top w:type="dxa" w:w="90"/>
              <w:left w:type="dxa" w:w="110"/>
              <w:bottom w:type="dxa" w:w="90"/>
              <w:right w:type="dxa" w:w="110"/>
            </w:tcMar>
            <w:vAlign w:val="center"/>
          </w:tcPr>
          <w:p>
            <w:r>
              <w:rPr>
                <w:b w:val="false"/>
                <w:bCs w:val="false"/>
                <w:color w:val="222222"/>
                <w:sz w:val="19"/>
                <w:szCs w:val="19"/>
              </w:rPr>
              <w:t xml:space="preserve">240 000</w:t>
            </w:r>
          </w:p>
        </w:tc>
        <w:tc>
          <w:tcPr>
            <w:tcW w:type="dxa" w:w="2200"/>
            <w:shd w:fill="FFFFFF" w:val="clear"/>
            <w:tcMar>
              <w:top w:type="dxa" w:w="90"/>
              <w:left w:type="dxa" w:w="110"/>
              <w:bottom w:type="dxa" w:w="90"/>
              <w:right w:type="dxa" w:w="110"/>
            </w:tcMar>
            <w:vAlign w:val="center"/>
          </w:tcPr>
          <w:p>
            <w:r>
              <w:rPr>
                <w:b w:val="false"/>
                <w:bCs w:val="false"/>
                <w:color w:val="222222"/>
                <w:sz w:val="19"/>
                <w:szCs w:val="19"/>
              </w:rPr>
              <w:t xml:space="preserve">12</w:t>
            </w:r>
          </w:p>
        </w:tc>
        <w:tc>
          <w:tcPr>
            <w:tcW w:type="dxa" w:w="1950"/>
            <w:shd w:fill="FFFFFF" w:val="clear"/>
            <w:tcMar>
              <w:top w:type="dxa" w:w="90"/>
              <w:left w:type="dxa" w:w="110"/>
              <w:bottom w:type="dxa" w:w="90"/>
              <w:right w:type="dxa" w:w="110"/>
            </w:tcMar>
            <w:vAlign w:val="center"/>
          </w:tcPr>
          <w:p>
            <w:r>
              <w:rPr>
                <w:b w:val="false"/>
                <w:bCs w:val="false"/>
                <w:color w:val="222222"/>
                <w:sz w:val="19"/>
                <w:szCs w:val="19"/>
              </w:rPr>
              <w:t xml:space="preserve">30%</w:t>
            </w:r>
          </w:p>
        </w:tc>
      </w:tr>
    </w:tbl>
    <w:p>
      <w:pPr>
        <w:spacing w:after="140" w:line="290"/>
      </w:pPr>
      <w:r>
        <w:rPr>
          <w:color w:val="222222"/>
          <w:sz w:val="21"/>
          <w:szCs w:val="21"/>
        </w:rPr>
        <w:t xml:space="preserve">Оплата — предоплата всей годовой суммы в момент оформления подписки (cash upfront). Клиент получает услуги (визиты) равномерно в течение следующих 12 месяцев после оплаты.</w:t>
      </w:r>
    </w:p>
    <w:p>
      <w:pPr>
        <w:pBdr>
          <w:left w:val="single" w:color="B08D3B" w:sz="18" w:space="8"/>
        </w:pBdr>
        <w:shd w:fill="FBF0DA" w:val="clear"/>
        <w:spacing w:after="140" w:line="270"/>
        <w:ind w:left="120"/>
      </w:pPr>
      <w:r>
        <w:rPr>
          <w:i/>
          <w:iCs/>
          <w:color w:val="6B5416"/>
          <w:sz w:val="19"/>
          <w:szCs w:val="19"/>
        </w:rPr>
        <w:t xml:space="preserve">⚠ Ключевой вопрос к бухгалтеру: признавать выручку кассовым методом в момент оплаты, или откладывать (deferred revenue) и признавать равномерно по мере оказания визитов в течение года? Для управленческой отчётности второй вариант точнее отражает реальность (услуга ещё не оказана), но для налога с оборота, вероятно, важен момент фактического поступления денег — нужно решение бухгалтера/юриста, финмодель сейчас считает по кассовому методу.</w:t>
      </w:r>
    </w:p>
    <w:p>
      <w:pPr>
        <w:pStyle w:val="Heading1"/>
        <w:pBdr>
          <w:bottom w:val="single" w:color="B08D3B" w:sz="6" w:space="4"/>
        </w:pBdr>
        <w:spacing w:after="200" w:before="420"/>
      </w:pPr>
      <w:r>
        <w:rPr>
          <w:b/>
          <w:bCs/>
          <w:color w:val="0A111F"/>
          <w:sz w:val="28"/>
          <w:szCs w:val="28"/>
        </w:rPr>
        <w:t xml:space="preserve">4. Зарплаты и персонал</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00"/>
        <w:gridCol w:w="900"/>
        <w:gridCol w:w="2450"/>
        <w:gridCol w:w="2700"/>
      </w:tblGrid>
      <w:tr>
        <w:trPr>
          <w:tblHeader/>
        </w:trPr>
        <w:tc>
          <w:tcPr>
            <w:tcW w:type="dxa" w:w="3300"/>
            <w:shd w:fill="0A111F" w:val="clear"/>
            <w:tcMar>
              <w:top w:type="dxa" w:w="90"/>
              <w:left w:type="dxa" w:w="110"/>
              <w:bottom w:type="dxa" w:w="90"/>
              <w:right w:type="dxa" w:w="110"/>
            </w:tcMar>
            <w:vAlign w:val="center"/>
          </w:tcPr>
          <w:p>
            <w:r>
              <w:rPr>
                <w:b/>
                <w:bCs/>
                <w:color w:val="FFFFFF"/>
                <w:sz w:val="19"/>
                <w:szCs w:val="19"/>
              </w:rPr>
              <w:t xml:space="preserve">Роль</w:t>
            </w:r>
          </w:p>
        </w:tc>
        <w:tc>
          <w:tcPr>
            <w:tcW w:type="dxa" w:w="900"/>
            <w:shd w:fill="0A111F" w:val="clear"/>
            <w:tcMar>
              <w:top w:type="dxa" w:w="90"/>
              <w:left w:type="dxa" w:w="110"/>
              <w:bottom w:type="dxa" w:w="90"/>
              <w:right w:type="dxa" w:w="110"/>
            </w:tcMar>
            <w:vAlign w:val="center"/>
          </w:tcPr>
          <w:p>
            <w:r>
              <w:rPr>
                <w:b/>
                <w:bCs/>
                <w:color w:val="FFFFFF"/>
                <w:sz w:val="19"/>
                <w:szCs w:val="19"/>
              </w:rPr>
              <w:t xml:space="preserve">Кол-во</w:t>
            </w:r>
          </w:p>
        </w:tc>
        <w:tc>
          <w:tcPr>
            <w:tcW w:type="dxa" w:w="2450"/>
            <w:shd w:fill="0A111F" w:val="clear"/>
            <w:tcMar>
              <w:top w:type="dxa" w:w="90"/>
              <w:left w:type="dxa" w:w="110"/>
              <w:bottom w:type="dxa" w:w="90"/>
              <w:right w:type="dxa" w:w="110"/>
            </w:tcMar>
            <w:vAlign w:val="center"/>
          </w:tcPr>
          <w:p>
            <w:r>
              <w:rPr>
                <w:b/>
                <w:bCs/>
                <w:color w:val="FFFFFF"/>
                <w:sz w:val="19"/>
                <w:szCs w:val="19"/>
              </w:rPr>
              <w:t xml:space="preserve">Зарплата, ֏/мес (gross)</w:t>
            </w:r>
          </w:p>
        </w:tc>
        <w:tc>
          <w:tcPr>
            <w:tcW w:type="dxa" w:w="2700"/>
            <w:shd w:fill="0A111F" w:val="clear"/>
            <w:tcMar>
              <w:top w:type="dxa" w:w="90"/>
              <w:left w:type="dxa" w:w="110"/>
              <w:bottom w:type="dxa" w:w="90"/>
              <w:right w:type="dxa" w:w="110"/>
            </w:tcMar>
            <w:vAlign w:val="center"/>
          </w:tcPr>
          <w:p>
            <w:r>
              <w:rPr>
                <w:b/>
                <w:bCs/>
                <w:color w:val="FFFFFF"/>
                <w:sz w:val="19"/>
                <w:szCs w:val="19"/>
              </w:rPr>
              <w:t xml:space="preserve">Комментарий</w:t>
            </w:r>
          </w:p>
        </w:tc>
      </w:tr>
      <w:tr>
        <w:tc>
          <w:tcPr>
            <w:tcW w:type="dxa" w:w="3300"/>
            <w:shd w:fill="FFFFFF" w:val="clear"/>
            <w:tcMar>
              <w:top w:type="dxa" w:w="90"/>
              <w:left w:type="dxa" w:w="110"/>
              <w:bottom w:type="dxa" w:w="90"/>
              <w:right w:type="dxa" w:w="110"/>
            </w:tcMar>
            <w:vAlign w:val="center"/>
          </w:tcPr>
          <w:p>
            <w:r>
              <w:rPr>
                <w:b w:val="false"/>
                <w:bCs w:val="false"/>
                <w:color w:val="222222"/>
                <w:sz w:val="19"/>
                <w:szCs w:val="19"/>
              </w:rPr>
              <w:t xml:space="preserve">Водитель-рабочий (тяжёлая команда)</w:t>
            </w:r>
          </w:p>
        </w:tc>
        <w:tc>
          <w:tcPr>
            <w:tcW w:type="dxa" w:w="900"/>
            <w:shd w:fill="FFFFFF" w:val="clear"/>
            <w:tcMar>
              <w:top w:type="dxa" w:w="90"/>
              <w:left w:type="dxa" w:w="110"/>
              <w:bottom w:type="dxa" w:w="90"/>
              <w:right w:type="dxa" w:w="110"/>
            </w:tcMar>
            <w:vAlign w:val="center"/>
          </w:tcPr>
          <w:p>
            <w:r>
              <w:rPr>
                <w:b w:val="false"/>
                <w:bCs w:val="false"/>
                <w:color w:val="222222"/>
                <w:sz w:val="19"/>
                <w:szCs w:val="19"/>
              </w:rPr>
              <w:t xml:space="preserve">1</w:t>
            </w:r>
          </w:p>
        </w:tc>
        <w:tc>
          <w:tcPr>
            <w:tcW w:type="dxa" w:w="2450"/>
            <w:shd w:fill="FFFFFF" w:val="clear"/>
            <w:tcMar>
              <w:top w:type="dxa" w:w="90"/>
              <w:left w:type="dxa" w:w="110"/>
              <w:bottom w:type="dxa" w:w="90"/>
              <w:right w:type="dxa" w:w="110"/>
            </w:tcMar>
            <w:vAlign w:val="center"/>
          </w:tcPr>
          <w:p>
            <w:r>
              <w:rPr>
                <w:b w:val="false"/>
                <w:bCs w:val="false"/>
                <w:color w:val="222222"/>
                <w:sz w:val="19"/>
                <w:szCs w:val="19"/>
              </w:rPr>
              <w:t xml:space="preserve">400 000</w:t>
            </w:r>
          </w:p>
        </w:tc>
        <w:tc>
          <w:tcPr>
            <w:tcW w:type="dxa" w:w="2700"/>
            <w:shd w:fill="FFFFFF" w:val="clear"/>
            <w:tcMar>
              <w:top w:type="dxa" w:w="90"/>
              <w:left w:type="dxa" w:w="110"/>
              <w:bottom w:type="dxa" w:w="90"/>
              <w:right w:type="dxa" w:w="110"/>
            </w:tcMar>
            <w:vAlign w:val="center"/>
          </w:tcPr>
          <w:p>
            <w:r>
              <w:rPr>
                <w:b w:val="false"/>
                <w:bCs w:val="false"/>
                <w:color w:val="222222"/>
                <w:sz w:val="19"/>
                <w:szCs w:val="19"/>
              </w:rPr>
              <w:t xml:space="preserve">работает на служебном авто (Ford Transit Connect)</w:t>
            </w:r>
          </w:p>
        </w:tc>
      </w:tr>
      <w:tr>
        <w:tc>
          <w:tcPr>
            <w:tcW w:type="dxa" w:w="3300"/>
            <w:shd w:fill="F7F3EA" w:val="clear"/>
            <w:tcMar>
              <w:top w:type="dxa" w:w="90"/>
              <w:left w:type="dxa" w:w="110"/>
              <w:bottom w:type="dxa" w:w="90"/>
              <w:right w:type="dxa" w:w="110"/>
            </w:tcMar>
            <w:vAlign w:val="center"/>
          </w:tcPr>
          <w:p>
            <w:r>
              <w:rPr>
                <w:b w:val="false"/>
                <w:bCs w:val="false"/>
                <w:color w:val="222222"/>
                <w:sz w:val="19"/>
                <w:szCs w:val="19"/>
              </w:rPr>
              <w:t xml:space="preserve">Второй рабочий (тяжёлая команда)</w:t>
            </w:r>
          </w:p>
        </w:tc>
        <w:tc>
          <w:tcPr>
            <w:tcW w:type="dxa" w:w="900"/>
            <w:shd w:fill="F7F3EA" w:val="clear"/>
            <w:tcMar>
              <w:top w:type="dxa" w:w="90"/>
              <w:left w:type="dxa" w:w="110"/>
              <w:bottom w:type="dxa" w:w="90"/>
              <w:right w:type="dxa" w:w="110"/>
            </w:tcMar>
            <w:vAlign w:val="center"/>
          </w:tcPr>
          <w:p>
            <w:r>
              <w:rPr>
                <w:b w:val="false"/>
                <w:bCs w:val="false"/>
                <w:color w:val="222222"/>
                <w:sz w:val="19"/>
                <w:szCs w:val="19"/>
              </w:rPr>
              <w:t xml:space="preserve">1</w:t>
            </w:r>
          </w:p>
        </w:tc>
        <w:tc>
          <w:tcPr>
            <w:tcW w:type="dxa" w:w="2450"/>
            <w:shd w:fill="F7F3EA" w:val="clear"/>
            <w:tcMar>
              <w:top w:type="dxa" w:w="90"/>
              <w:left w:type="dxa" w:w="110"/>
              <w:bottom w:type="dxa" w:w="90"/>
              <w:right w:type="dxa" w:w="110"/>
            </w:tcMar>
            <w:vAlign w:val="center"/>
          </w:tcPr>
          <w:p>
            <w:r>
              <w:rPr>
                <w:b w:val="false"/>
                <w:bCs w:val="false"/>
                <w:color w:val="222222"/>
                <w:sz w:val="19"/>
                <w:szCs w:val="19"/>
              </w:rPr>
              <w:t xml:space="preserve">300 000</w:t>
            </w:r>
          </w:p>
        </w:tc>
        <w:tc>
          <w:tcPr>
            <w:tcW w:type="dxa" w:w="2700"/>
            <w:shd w:fill="F7F3EA" w:val="clear"/>
            <w:tcMar>
              <w:top w:type="dxa" w:w="90"/>
              <w:left w:type="dxa" w:w="110"/>
              <w:bottom w:type="dxa" w:w="90"/>
              <w:right w:type="dxa" w:w="110"/>
            </w:tcMar>
            <w:vAlign w:val="center"/>
          </w:tcPr>
          <w:p>
            <w:r>
              <w:rPr>
                <w:b w:val="false"/>
                <w:bCs w:val="false"/>
                <w:color w:val="222222"/>
                <w:sz w:val="19"/>
                <w:szCs w:val="19"/>
              </w:rPr>
              <w:t xml:space="preserve"/>
            </w:r>
          </w:p>
        </w:tc>
      </w:tr>
      <w:tr>
        <w:tc>
          <w:tcPr>
            <w:tcW w:type="dxa" w:w="3300"/>
            <w:shd w:fill="FFFFFF" w:val="clear"/>
            <w:tcMar>
              <w:top w:type="dxa" w:w="90"/>
              <w:left w:type="dxa" w:w="110"/>
              <w:bottom w:type="dxa" w:w="90"/>
              <w:right w:type="dxa" w:w="110"/>
            </w:tcMar>
            <w:vAlign w:val="center"/>
          </w:tcPr>
          <w:p>
            <w:r>
              <w:rPr>
                <w:b w:val="false"/>
                <w:bCs w:val="false"/>
                <w:color w:val="222222"/>
                <w:sz w:val="19"/>
                <w:szCs w:val="19"/>
              </w:rPr>
              <w:t xml:space="preserve">Мини-визитёр (лёгкая команда)</w:t>
            </w:r>
          </w:p>
        </w:tc>
        <w:tc>
          <w:tcPr>
            <w:tcW w:type="dxa" w:w="900"/>
            <w:shd w:fill="FFFFFF" w:val="clear"/>
            <w:tcMar>
              <w:top w:type="dxa" w:w="90"/>
              <w:left w:type="dxa" w:w="110"/>
              <w:bottom w:type="dxa" w:w="90"/>
              <w:right w:type="dxa" w:w="110"/>
            </w:tcMar>
            <w:vAlign w:val="center"/>
          </w:tcPr>
          <w:p>
            <w:r>
              <w:rPr>
                <w:b w:val="false"/>
                <w:bCs w:val="false"/>
                <w:color w:val="222222"/>
                <w:sz w:val="19"/>
                <w:szCs w:val="19"/>
              </w:rPr>
              <w:t xml:space="preserve">1</w:t>
            </w:r>
          </w:p>
        </w:tc>
        <w:tc>
          <w:tcPr>
            <w:tcW w:type="dxa" w:w="2450"/>
            <w:shd w:fill="FFFFFF" w:val="clear"/>
            <w:tcMar>
              <w:top w:type="dxa" w:w="90"/>
              <w:left w:type="dxa" w:w="110"/>
              <w:bottom w:type="dxa" w:w="90"/>
              <w:right w:type="dxa" w:w="110"/>
            </w:tcMar>
            <w:vAlign w:val="center"/>
          </w:tcPr>
          <w:p>
            <w:r>
              <w:rPr>
                <w:b w:val="false"/>
                <w:bCs w:val="false"/>
                <w:color w:val="222222"/>
                <w:sz w:val="19"/>
                <w:szCs w:val="19"/>
              </w:rPr>
              <w:t xml:space="preserve">450 000</w:t>
            </w:r>
          </w:p>
        </w:tc>
        <w:tc>
          <w:tcPr>
            <w:tcW w:type="dxa" w:w="2700"/>
            <w:shd w:fill="FFFFFF" w:val="clear"/>
            <w:tcMar>
              <w:top w:type="dxa" w:w="90"/>
              <w:left w:type="dxa" w:w="110"/>
              <w:bottom w:type="dxa" w:w="90"/>
              <w:right w:type="dxa" w:w="110"/>
            </w:tcMar>
            <w:vAlign w:val="center"/>
          </w:tcPr>
          <w:p>
            <w:r>
              <w:rPr>
                <w:b w:val="false"/>
                <w:bCs w:val="false"/>
                <w:color w:val="222222"/>
                <w:sz w:val="19"/>
                <w:szCs w:val="19"/>
              </w:rPr>
              <w:t xml:space="preserve">компенсация за личный авто включена в сумму, отдельной статьи нет</w:t>
            </w:r>
          </w:p>
        </w:tc>
      </w:tr>
      <w:tr>
        <w:tc>
          <w:tcPr>
            <w:tcW w:type="dxa" w:w="3300"/>
            <w:shd w:fill="F7F3EA" w:val="clear"/>
            <w:tcMar>
              <w:top w:type="dxa" w:w="90"/>
              <w:left w:type="dxa" w:w="110"/>
              <w:bottom w:type="dxa" w:w="90"/>
              <w:right w:type="dxa" w:w="110"/>
            </w:tcMar>
            <w:vAlign w:val="center"/>
          </w:tcPr>
          <w:p>
            <w:r>
              <w:rPr>
                <w:b w:val="false"/>
                <w:bCs w:val="false"/>
                <w:color w:val="222222"/>
                <w:sz w:val="19"/>
                <w:szCs w:val="19"/>
              </w:rPr>
              <w:t xml:space="preserve">Юрист (привлечённый)</w:t>
            </w:r>
          </w:p>
        </w:tc>
        <w:tc>
          <w:tcPr>
            <w:tcW w:type="dxa" w:w="900"/>
            <w:shd w:fill="F7F3EA" w:val="clear"/>
            <w:tcMar>
              <w:top w:type="dxa" w:w="90"/>
              <w:left w:type="dxa" w:w="110"/>
              <w:bottom w:type="dxa" w:w="90"/>
              <w:right w:type="dxa" w:w="110"/>
            </w:tcMar>
            <w:vAlign w:val="center"/>
          </w:tcPr>
          <w:p>
            <w:r>
              <w:rPr>
                <w:b w:val="false"/>
                <w:bCs w:val="false"/>
                <w:color w:val="222222"/>
                <w:sz w:val="19"/>
                <w:szCs w:val="19"/>
              </w:rPr>
              <w:t xml:space="preserve">1</w:t>
            </w:r>
          </w:p>
        </w:tc>
        <w:tc>
          <w:tcPr>
            <w:tcW w:type="dxa" w:w="2450"/>
            <w:shd w:fill="F7F3EA" w:val="clear"/>
            <w:tcMar>
              <w:top w:type="dxa" w:w="90"/>
              <w:left w:type="dxa" w:w="110"/>
              <w:bottom w:type="dxa" w:w="90"/>
              <w:right w:type="dxa" w:w="110"/>
            </w:tcMar>
            <w:vAlign w:val="center"/>
          </w:tcPr>
          <w:p>
            <w:r>
              <w:rPr>
                <w:b w:val="false"/>
                <w:bCs w:val="false"/>
                <w:color w:val="222222"/>
                <w:sz w:val="19"/>
                <w:szCs w:val="19"/>
              </w:rPr>
              <w:t xml:space="preserve">200 000</w:t>
            </w:r>
          </w:p>
        </w:tc>
        <w:tc>
          <w:tcPr>
            <w:tcW w:type="dxa" w:w="2700"/>
            <w:shd w:fill="F7F3EA" w:val="clear"/>
            <w:tcMar>
              <w:top w:type="dxa" w:w="90"/>
              <w:left w:type="dxa" w:w="110"/>
              <w:bottom w:type="dxa" w:w="90"/>
              <w:right w:type="dxa" w:w="110"/>
            </w:tcMar>
            <w:vAlign w:val="center"/>
          </w:tcPr>
          <w:p>
            <w:r>
              <w:rPr>
                <w:b w:val="false"/>
                <w:bCs w:val="false"/>
                <w:color w:val="222222"/>
                <w:sz w:val="19"/>
                <w:szCs w:val="19"/>
              </w:rPr>
              <w:t xml:space="preserve">статус — сотрудник или подрядчик, не уточнено</w:t>
            </w:r>
          </w:p>
        </w:tc>
      </w:tr>
    </w:tbl>
    <w:p>
      <w:pPr>
        <w:spacing w:after="140" w:line="290"/>
      </w:pPr>
      <w:r>
        <w:rPr>
          <w:i/>
          <w:iCs/>
          <w:color w:val="222222"/>
          <w:sz w:val="19"/>
          <w:szCs w:val="19"/>
        </w:rPr>
        <w:t xml:space="preserve">Известно (не подтверждено официально): в Армении работодатель платит только сумму gross-зарплаты; подоходный налог (20%) и социальный взнос (5–10%) удерживаются из зарплаты самого сотрудника, отдельного налога сверху для работодателя нет.</w:t>
      </w:r>
    </w:p>
    <w:p>
      <w:pPr>
        <w:pBdr>
          <w:left w:val="single" w:color="B08D3B" w:sz="18" w:space="8"/>
        </w:pBdr>
        <w:shd w:fill="FBF0DA" w:val="clear"/>
        <w:spacing w:after="140" w:line="270"/>
        <w:ind w:left="120"/>
      </w:pPr>
      <w:r>
        <w:rPr>
          <w:i/>
          <w:iCs/>
          <w:color w:val="6B5416"/>
          <w:sz w:val="19"/>
          <w:szCs w:val="19"/>
        </w:rPr>
        <w:t xml:space="preserve">⚠ Тип оформления сотрудников (трудовой договор / гражданско-правовой договор) не определён. Юрист также не понятно — в штате или на договоре услуг. Это напрямую влияет на порядок начисления налогов — нужно решение до первой выплаты зарплаты.</w:t>
      </w:r>
    </w:p>
    <w:p>
      <w:pPr>
        <w:pStyle w:val="Heading1"/>
        <w:pBdr>
          <w:bottom w:val="single" w:color="B08D3B" w:sz="6" w:space="4"/>
        </w:pBdr>
        <w:spacing w:after="200" w:before="420"/>
      </w:pPr>
      <w:r>
        <w:rPr>
          <w:b/>
          <w:bCs/>
          <w:color w:val="0A111F"/>
          <w:sz w:val="28"/>
          <w:szCs w:val="28"/>
        </w:rPr>
        <w:t xml:space="preserve">5. Основные средства, аренда и амортизация</w:t>
      </w:r>
    </w:p>
    <w:p>
      <w:pPr>
        <w:spacing w:after="140" w:line="290"/>
      </w:pPr>
      <w:r>
        <w:rPr>
          <w:color w:val="222222"/>
          <w:sz w:val="21"/>
          <w:szCs w:val="21"/>
        </w:rPr>
        <w:t xml:space="preserve">Ford Transit Connect ($9 000–11 000, б/у) НЕ является основным средством компании — его покупает David Hambardzumyan как физическое лицо и сдаёт компании в аренду. Компании нужны: формальный договор аренды, установленный по рыночной ставке (сделка со связанной стороной — владельцем компании), и ежемесячная статья арендных расходов вместо амортизации автомобиля.</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200"/>
        <w:gridCol w:w="1950"/>
      </w:tblGrid>
      <w:tr>
        <w:trPr>
          <w:tblHeader/>
        </w:trPr>
        <w:tc>
          <w:tcPr>
            <w:tcW w:type="dxa" w:w="3000"/>
            <w:shd w:fill="0A111F" w:val="clear"/>
            <w:tcMar>
              <w:top w:type="dxa" w:w="90"/>
              <w:left w:type="dxa" w:w="110"/>
              <w:bottom w:type="dxa" w:w="90"/>
              <w:right w:type="dxa" w:w="110"/>
            </w:tcMar>
            <w:vAlign w:val="center"/>
          </w:tcPr>
          <w:p>
            <w:r>
              <w:rPr>
                <w:b/>
                <w:bCs/>
                <w:color w:val="FFFFFF"/>
                <w:sz w:val="19"/>
                <w:szCs w:val="19"/>
              </w:rPr>
              <w:t xml:space="preserve">Актив</w:t>
            </w:r>
          </w:p>
        </w:tc>
        <w:tc>
          <w:tcPr>
            <w:tcW w:type="dxa" w:w="2200"/>
            <w:shd w:fill="0A111F" w:val="clear"/>
            <w:tcMar>
              <w:top w:type="dxa" w:w="90"/>
              <w:left w:type="dxa" w:w="110"/>
              <w:bottom w:type="dxa" w:w="90"/>
              <w:right w:type="dxa" w:w="110"/>
            </w:tcMar>
            <w:vAlign w:val="center"/>
          </w:tcPr>
          <w:p>
            <w:r>
              <w:rPr>
                <w:b/>
                <w:bCs/>
                <w:color w:val="FFFFFF"/>
                <w:sz w:val="19"/>
                <w:szCs w:val="19"/>
              </w:rPr>
              <w:t xml:space="preserve">Стоимость</w:t>
            </w:r>
          </w:p>
        </w:tc>
        <w:tc>
          <w:tcPr>
            <w:tcW w:type="dxa" w:w="2200"/>
            <w:shd w:fill="0A111F" w:val="clear"/>
            <w:tcMar>
              <w:top w:type="dxa" w:w="90"/>
              <w:left w:type="dxa" w:w="110"/>
              <w:bottom w:type="dxa" w:w="90"/>
              <w:right w:type="dxa" w:w="110"/>
            </w:tcMar>
            <w:vAlign w:val="center"/>
          </w:tcPr>
          <w:p>
            <w:r>
              <w:rPr>
                <w:b/>
                <w:bCs/>
                <w:color w:val="FFFFFF"/>
                <w:sz w:val="19"/>
                <w:szCs w:val="19"/>
              </w:rPr>
              <w:t xml:space="preserve">Срок службы (управленческий)</w:t>
            </w:r>
          </w:p>
        </w:tc>
        <w:tc>
          <w:tcPr>
            <w:tcW w:type="dxa" w:w="1950"/>
            <w:shd w:fill="0A111F" w:val="clear"/>
            <w:tcMar>
              <w:top w:type="dxa" w:w="90"/>
              <w:left w:type="dxa" w:w="110"/>
              <w:bottom w:type="dxa" w:w="90"/>
              <w:right w:type="dxa" w:w="110"/>
            </w:tcMar>
            <w:vAlign w:val="center"/>
          </w:tcPr>
          <w:p>
            <w:r>
              <w:rPr>
                <w:b/>
                <w:bCs/>
                <w:color w:val="FFFFFF"/>
                <w:sz w:val="19"/>
                <w:szCs w:val="19"/>
              </w:rPr>
              <w:t xml:space="preserve">Ежемесячная амортизация</w:t>
            </w:r>
          </w:p>
        </w:tc>
      </w:tr>
      <w:tr>
        <w:tc>
          <w:tcPr>
            <w:tcW w:type="dxa" w:w="3000"/>
            <w:shd w:fill="FFFFFF" w:val="clear"/>
            <w:tcMar>
              <w:top w:type="dxa" w:w="90"/>
              <w:left w:type="dxa" w:w="110"/>
              <w:bottom w:type="dxa" w:w="90"/>
              <w:right w:type="dxa" w:w="110"/>
            </w:tcMar>
            <w:vAlign w:val="center"/>
          </w:tcPr>
          <w:p>
            <w:r>
              <w:rPr>
                <w:b w:val="false"/>
                <w:bCs w:val="false"/>
                <w:color w:val="222222"/>
                <w:sz w:val="19"/>
                <w:szCs w:val="19"/>
              </w:rPr>
              <w:t xml:space="preserve">Инструмент тяжёлой команды</w:t>
            </w:r>
          </w:p>
        </w:tc>
        <w:tc>
          <w:tcPr>
            <w:tcW w:type="dxa" w:w="2200"/>
            <w:shd w:fill="FFFFFF" w:val="clear"/>
            <w:tcMar>
              <w:top w:type="dxa" w:w="90"/>
              <w:left w:type="dxa" w:w="110"/>
              <w:bottom w:type="dxa" w:w="90"/>
              <w:right w:type="dxa" w:w="110"/>
            </w:tcMar>
            <w:vAlign w:val="center"/>
          </w:tcPr>
          <w:p>
            <w:r>
              <w:rPr>
                <w:b w:val="false"/>
                <w:bCs w:val="false"/>
                <w:color w:val="222222"/>
                <w:sz w:val="19"/>
                <w:szCs w:val="19"/>
              </w:rPr>
              <w:t xml:space="preserve">$2 000 / 730 000 ֏</w:t>
            </w:r>
          </w:p>
        </w:tc>
        <w:tc>
          <w:tcPr>
            <w:tcW w:type="dxa" w:w="2200"/>
            <w:shd w:fill="FFFFFF" w:val="clear"/>
            <w:tcMar>
              <w:top w:type="dxa" w:w="90"/>
              <w:left w:type="dxa" w:w="110"/>
              <w:bottom w:type="dxa" w:w="90"/>
              <w:right w:type="dxa" w:w="110"/>
            </w:tcMar>
            <w:vAlign w:val="center"/>
          </w:tcPr>
          <w:p>
            <w:r>
              <w:rPr>
                <w:b w:val="false"/>
                <w:bCs w:val="false"/>
                <w:color w:val="222222"/>
                <w:sz w:val="19"/>
                <w:szCs w:val="19"/>
              </w:rPr>
              <w:t xml:space="preserve">36 мес (3 года)</w:t>
            </w:r>
          </w:p>
        </w:tc>
        <w:tc>
          <w:tcPr>
            <w:tcW w:type="dxa" w:w="1950"/>
            <w:shd w:fill="FFFFFF" w:val="clear"/>
            <w:tcMar>
              <w:top w:type="dxa" w:w="90"/>
              <w:left w:type="dxa" w:w="110"/>
              <w:bottom w:type="dxa" w:w="90"/>
              <w:right w:type="dxa" w:w="110"/>
            </w:tcMar>
            <w:vAlign w:val="center"/>
          </w:tcPr>
          <w:p>
            <w:r>
              <w:rPr>
                <w:b w:val="false"/>
                <w:bCs w:val="false"/>
                <w:color w:val="222222"/>
                <w:sz w:val="19"/>
                <w:szCs w:val="19"/>
              </w:rPr>
              <w:t xml:space="preserve">20 278 ֏</w:t>
            </w:r>
          </w:p>
        </w:tc>
      </w:tr>
      <w:tr>
        <w:tc>
          <w:tcPr>
            <w:tcW w:type="dxa" w:w="3000"/>
            <w:shd w:fill="F7F3EA" w:val="clear"/>
            <w:tcMar>
              <w:top w:type="dxa" w:w="90"/>
              <w:left w:type="dxa" w:w="110"/>
              <w:bottom w:type="dxa" w:w="90"/>
              <w:right w:type="dxa" w:w="110"/>
            </w:tcMar>
            <w:vAlign w:val="center"/>
          </w:tcPr>
          <w:p>
            <w:r>
              <w:rPr>
                <w:b w:val="false"/>
                <w:bCs w:val="false"/>
                <w:color w:val="222222"/>
                <w:sz w:val="19"/>
                <w:szCs w:val="19"/>
              </w:rPr>
              <w:t xml:space="preserve">Набор лёгкой команды</w:t>
            </w:r>
          </w:p>
        </w:tc>
        <w:tc>
          <w:tcPr>
            <w:tcW w:type="dxa" w:w="2200"/>
            <w:shd w:fill="F7F3EA" w:val="clear"/>
            <w:tcMar>
              <w:top w:type="dxa" w:w="90"/>
              <w:left w:type="dxa" w:w="110"/>
              <w:bottom w:type="dxa" w:w="90"/>
              <w:right w:type="dxa" w:w="110"/>
            </w:tcMar>
            <w:vAlign w:val="center"/>
          </w:tcPr>
          <w:p>
            <w:r>
              <w:rPr>
                <w:b w:val="false"/>
                <w:bCs w:val="false"/>
                <w:color w:val="222222"/>
                <w:sz w:val="19"/>
                <w:szCs w:val="19"/>
              </w:rPr>
              <w:t xml:space="preserve">$250 / 91 250 ֏</w:t>
            </w:r>
          </w:p>
        </w:tc>
        <w:tc>
          <w:tcPr>
            <w:tcW w:type="dxa" w:w="2200"/>
            <w:shd w:fill="F7F3EA" w:val="clear"/>
            <w:tcMar>
              <w:top w:type="dxa" w:w="90"/>
              <w:left w:type="dxa" w:w="110"/>
              <w:bottom w:type="dxa" w:w="90"/>
              <w:right w:type="dxa" w:w="110"/>
            </w:tcMar>
            <w:vAlign w:val="center"/>
          </w:tcPr>
          <w:p>
            <w:r>
              <w:rPr>
                <w:b w:val="false"/>
                <w:bCs w:val="false"/>
                <w:color w:val="222222"/>
                <w:sz w:val="19"/>
                <w:szCs w:val="19"/>
              </w:rPr>
              <w:t xml:space="preserve">24 мес (2 года)</w:t>
            </w:r>
          </w:p>
        </w:tc>
        <w:tc>
          <w:tcPr>
            <w:tcW w:type="dxa" w:w="1950"/>
            <w:shd w:fill="F7F3EA" w:val="clear"/>
            <w:tcMar>
              <w:top w:type="dxa" w:w="90"/>
              <w:left w:type="dxa" w:w="110"/>
              <w:bottom w:type="dxa" w:w="90"/>
              <w:right w:type="dxa" w:w="110"/>
            </w:tcMar>
            <w:vAlign w:val="center"/>
          </w:tcPr>
          <w:p>
            <w:r>
              <w:rPr>
                <w:b w:val="false"/>
                <w:bCs w:val="false"/>
                <w:color w:val="222222"/>
                <w:sz w:val="19"/>
                <w:szCs w:val="19"/>
              </w:rPr>
              <w:t xml:space="preserve">3 802 ֏</w:t>
            </w:r>
          </w:p>
        </w:tc>
      </w:tr>
    </w:tbl>
    <w:p>
      <w:pPr>
        <w:pBdr>
          <w:left w:val="single" w:color="B08D3B" w:sz="18" w:space="8"/>
        </w:pBdr>
        <w:shd w:fill="FBF0DA" w:val="clear"/>
        <w:spacing w:after="140" w:line="270"/>
        <w:ind w:left="120"/>
      </w:pPr>
      <w:r>
        <w:rPr>
          <w:i/>
          <w:iCs/>
          <w:color w:val="6B5416"/>
          <w:sz w:val="19"/>
          <w:szCs w:val="19"/>
        </w:rPr>
        <w:t xml:space="preserve">⚠ Указанные сроки службы — управленческие допущения основателей, не налоговая амортизация. Нужно, чтобы бухгалтер подтвердил (или скорректировал) сроки полезного использования согласно налоговому законодательству Армении для этих категорий активов. Ставка аренды за Transit Connect также ещё не определена — нужна рыночная оценка, чтобы не создавать риск претензий по трансфертному ценообразованию между David и компанией.</w:t>
      </w:r>
    </w:p>
    <w:p>
      <w:pPr>
        <w:pStyle w:val="Heading1"/>
        <w:pBdr>
          <w:bottom w:val="single" w:color="B08D3B" w:sz="6" w:space="4"/>
        </w:pBdr>
        <w:spacing w:after="200" w:before="420"/>
      </w:pPr>
      <w:r>
        <w:rPr>
          <w:b/>
          <w:bCs/>
          <w:color w:val="0A111F"/>
          <w:sz w:val="28"/>
          <w:szCs w:val="28"/>
        </w:rPr>
        <w:t xml:space="preserve">6. QR-страница памяти — отдельный продукт</w:t>
      </w:r>
    </w:p>
    <w:p>
      <w:pPr>
        <w:spacing w:after="140" w:line="290"/>
      </w:pPr>
      <w:r>
        <w:rPr>
          <w:color w:val="222222"/>
          <w:sz w:val="21"/>
          <w:szCs w:val="21"/>
        </w:rPr>
        <w:t xml:space="preserve">Цифровая страница памяти (QR-код на памятнике: галерея, биография, сообщения от приглашённых родственников). Модель монетизации:</w:t>
      </w:r>
    </w:p>
    <w:p>
      <w:pPr>
        <w:pStyle w:val="ListParagraph"/>
        <w:numPr>
          <w:ilvl w:val="0"/>
          <w:numId w:val="2"/>
        </w:numPr>
        <w:spacing w:after="80" w:line="270"/>
      </w:pPr>
      <w:r>
        <w:rPr>
          <w:color w:val="222222"/>
          <w:sz w:val="21"/>
          <w:szCs w:val="21"/>
        </w:rPr>
        <w:t xml:space="preserve">Разовый платёж за установку и создание страницы</w:t>
      </w:r>
    </w:p>
    <w:p>
      <w:pPr>
        <w:pStyle w:val="ListParagraph"/>
        <w:numPr>
          <w:ilvl w:val="0"/>
          <w:numId w:val="2"/>
        </w:numPr>
        <w:spacing w:after="80" w:line="270"/>
      </w:pPr>
      <w:r>
        <w:rPr>
          <w:color w:val="222222"/>
          <w:sz w:val="21"/>
          <w:szCs w:val="21"/>
        </w:rPr>
        <w:t xml:space="preserve">Небольшая ежегодная рента за хостинг</w:t>
      </w:r>
    </w:p>
    <w:p>
      <w:pPr>
        <w:pStyle w:val="ListParagraph"/>
        <w:numPr>
          <w:ilvl w:val="0"/>
          <w:numId w:val="2"/>
        </w:numPr>
        <w:spacing w:after="80" w:line="270"/>
      </w:pPr>
      <w:r>
        <w:rPr>
          <w:color w:val="222222"/>
          <w:sz w:val="21"/>
          <w:szCs w:val="21"/>
        </w:rPr>
        <w:t xml:space="preserve">Бесплатно включено в тариф "Максимум"; платный апсейл к остальным тарифам; также продаётся отдельно от подписки на уборку</w:t>
      </w:r>
    </w:p>
    <w:p>
      <w:pPr>
        <w:pBdr>
          <w:left w:val="single" w:color="B08D3B" w:sz="18" w:space="8"/>
        </w:pBdr>
        <w:shd w:fill="FBF0DA" w:val="clear"/>
        <w:spacing w:after="140" w:line="270"/>
        <w:ind w:left="120"/>
      </w:pPr>
      <w:r>
        <w:rPr>
          <w:i/>
          <w:iCs/>
          <w:color w:val="6B5416"/>
          <w:sz w:val="19"/>
          <w:szCs w:val="19"/>
        </w:rPr>
        <w:t xml:space="preserve">⚠ Точные суммы разового платежа и годовой ренты ещё не утверждены. Как и с основной подпиской, здесь также встаёт вопрос признания дохода: разовый платёж — доход сразу, или тоже растягивается на первый год обслуживания? Годовая рента — стандартный recurring доход, но нужно продумать, что происходит с обязательством, если клиент не продлевает оплату (при неуплате страница уходит в архивный режим на 6–12 мес., не удаляется сразу) — это может потребовать резерва/начисления обязательства на балансе.</w:t>
      </w:r>
    </w:p>
    <w:p>
      <w:pPr>
        <w:pStyle w:val="Heading1"/>
        <w:pBdr>
          <w:bottom w:val="single" w:color="B08D3B" w:sz="6" w:space="4"/>
        </w:pBdr>
        <w:spacing w:after="200" w:before="420"/>
      </w:pPr>
      <w:r>
        <w:rPr>
          <w:b/>
          <w:bCs/>
          <w:color w:val="0A111F"/>
          <w:sz w:val="28"/>
          <w:szCs w:val="28"/>
        </w:rPr>
        <w:t xml:space="preserve">7. Финансирование от учредителя и вознаграждение основателей</w:t>
      </w:r>
    </w:p>
    <w:p>
      <w:pPr>
        <w:spacing w:after="140" w:line="290"/>
      </w:pPr>
      <w:r>
        <w:rPr>
          <w:color w:val="222222"/>
          <w:sz w:val="21"/>
          <w:szCs w:val="21"/>
        </w:rPr>
        <w:t xml:space="preserve">David Hambardzumyan предоставляет компании средства (до $50 000–60 000 при необходимости) в форме займа — компания обязана вернуть эту сумму David по мере выхода на устойчивый денежный поток. Это не взнос в капитал.</w:t>
      </w:r>
    </w:p>
    <w:p>
      <w:pPr>
        <w:spacing w:after="140" w:line="290"/>
      </w:pPr>
      <w:r>
        <w:rPr>
          <w:color w:val="222222"/>
          <w:sz w:val="21"/>
          <w:szCs w:val="21"/>
        </w:rPr>
        <w:t xml:space="preserve">Отдельно, вне корпоративного займа: David покупает Ford Transit Connect как физлицо и сдаёт его в аренду компании (см. раздел 5) — это второй, отдельный поток расчётов с David, не путать с займом.</w:t>
      </w:r>
    </w:p>
    <w:p>
      <w:pPr>
        <w:spacing w:after="140" w:line="290"/>
      </w:pPr>
      <w:r>
        <w:rPr>
          <w:color w:val="222222"/>
          <w:sz w:val="21"/>
          <w:szCs w:val="21"/>
        </w:rPr>
        <w:t xml:space="preserve">В Год 1 David и Hayk не получают ни зарплату, ни дивиденды от компании — договорённость обоих учредителей.</w:t>
      </w:r>
    </w:p>
    <w:p>
      <w:pPr>
        <w:pBdr>
          <w:left w:val="single" w:color="B08D3B" w:sz="18" w:space="8"/>
        </w:pBdr>
        <w:shd w:fill="FBF0DA" w:val="clear"/>
        <w:spacing w:after="140" w:line="270"/>
        <w:ind w:left="120"/>
      </w:pPr>
      <w:r>
        <w:rPr>
          <w:i/>
          <w:iCs/>
          <w:color w:val="6B5416"/>
          <w:sz w:val="19"/>
          <w:szCs w:val="19"/>
        </w:rPr>
        <w:t xml:space="preserve">⚠ Нужен формальный договор займа (сумма, срок, наличие/отсутствие процентов) — устная договорённость "даст заём, потом компания вернёт" пока не оформлена документом. Проценты по займу (если есть) также имеют налоговые последствия и должны быть зафиксированы явно.</w:t>
      </w:r>
    </w:p>
    <w:p>
      <w:pPr>
        <w:pStyle w:val="Heading1"/>
        <w:pBdr>
          <w:bottom w:val="single" w:color="B08D3B" w:sz="6" w:space="4"/>
        </w:pBdr>
        <w:spacing w:after="200" w:before="420"/>
      </w:pPr>
      <w:r>
        <w:rPr>
          <w:b/>
          <w:bCs/>
          <w:color w:val="0A111F"/>
          <w:sz w:val="28"/>
          <w:szCs w:val="28"/>
        </w:rPr>
        <w:t xml:space="preserve">8. Приём оплат и фискализация</w:t>
      </w:r>
    </w:p>
    <w:p>
      <w:pPr>
        <w:spacing w:after="140" w:line="290"/>
      </w:pPr>
      <w:r>
        <w:rPr>
          <w:color w:val="222222"/>
          <w:sz w:val="21"/>
          <w:szCs w:val="21"/>
        </w:rPr>
        <w:t xml:space="preserve">Клиенты оплачивают подписку онлайн, банковской картой.</w:t>
      </w:r>
    </w:p>
    <w:p>
      <w:pPr>
        <w:pBdr>
          <w:left w:val="single" w:color="B08D3B" w:sz="18" w:space="8"/>
        </w:pBdr>
        <w:shd w:fill="FBF0DA" w:val="clear"/>
        <w:spacing w:after="140" w:line="270"/>
        <w:ind w:left="120"/>
      </w:pPr>
      <w:r>
        <w:rPr>
          <w:i/>
          <w:iCs/>
          <w:color w:val="6B5416"/>
          <w:sz w:val="19"/>
          <w:szCs w:val="19"/>
        </w:rPr>
        <w:t xml:space="preserve">⚠ Нужно ли использовать онлайн-кассовый аппарат для фискализации приёма оплат от физлиц — решает бухгалтер. Также не определён финансовый/отчётный год компании (календарный год — стандарт для Армении, но нужно подтверждение бухгалтера).</w:t>
      </w:r>
    </w:p>
    <w:p>
      <w:pPr>
        <w:pStyle w:val="Heading1"/>
        <w:pBdr>
          <w:bottom w:val="single" w:color="B08D3B" w:sz="6" w:space="4"/>
        </w:pBdr>
        <w:spacing w:after="200" w:before="420"/>
      </w:pPr>
      <w:r>
        <w:rPr>
          <w:b/>
          <w:bCs/>
          <w:color w:val="0A111F"/>
          <w:sz w:val="28"/>
          <w:szCs w:val="28"/>
        </w:rPr>
        <w:t xml:space="preserve">9. Регулярные расходы (накладные), ежемесячно</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500"/>
        <w:gridCol w:w="3850"/>
      </w:tblGrid>
      <w:tr>
        <w:trPr>
          <w:tblHeader/>
        </w:trPr>
        <w:tc>
          <w:tcPr>
            <w:tcW w:type="dxa" w:w="5500"/>
            <w:shd w:fill="0A111F" w:val="clear"/>
            <w:tcMar>
              <w:top w:type="dxa" w:w="90"/>
              <w:left w:type="dxa" w:w="110"/>
              <w:bottom w:type="dxa" w:w="90"/>
              <w:right w:type="dxa" w:w="110"/>
            </w:tcMar>
            <w:vAlign w:val="center"/>
          </w:tcPr>
          <w:p>
            <w:r>
              <w:rPr>
                <w:b/>
                <w:bCs/>
                <w:color w:val="FFFFFF"/>
                <w:sz w:val="19"/>
                <w:szCs w:val="19"/>
              </w:rPr>
              <w:t xml:space="preserve">Статья</w:t>
            </w:r>
          </w:p>
        </w:tc>
        <w:tc>
          <w:tcPr>
            <w:tcW w:type="dxa" w:w="3850"/>
            <w:shd w:fill="0A111F" w:val="clear"/>
            <w:tcMar>
              <w:top w:type="dxa" w:w="90"/>
              <w:left w:type="dxa" w:w="110"/>
              <w:bottom w:type="dxa" w:w="90"/>
              <w:right w:type="dxa" w:w="110"/>
            </w:tcMar>
            <w:vAlign w:val="center"/>
          </w:tcPr>
          <w:p>
            <w:r>
              <w:rPr>
                <w:b/>
                <w:bCs/>
                <w:color w:val="FFFFFF"/>
                <w:sz w:val="19"/>
                <w:szCs w:val="19"/>
              </w:rPr>
              <w:t xml:space="preserve">Сумма, ֏/мес</w:t>
            </w:r>
          </w:p>
        </w:tc>
      </w:tr>
      <w:tr>
        <w:tc>
          <w:tcPr>
            <w:tcW w:type="dxa" w:w="5500"/>
            <w:shd w:fill="FFFFFF" w:val="clear"/>
            <w:tcMar>
              <w:top w:type="dxa" w:w="90"/>
              <w:left w:type="dxa" w:w="110"/>
              <w:bottom w:type="dxa" w:w="90"/>
              <w:right w:type="dxa" w:w="110"/>
            </w:tcMar>
            <w:vAlign w:val="center"/>
          </w:tcPr>
          <w:p>
            <w:r>
              <w:rPr>
                <w:b w:val="false"/>
                <w:bCs w:val="false"/>
                <w:color w:val="222222"/>
                <w:sz w:val="19"/>
                <w:szCs w:val="19"/>
              </w:rPr>
              <w:t xml:space="preserve">Юрист</w:t>
            </w:r>
          </w:p>
        </w:tc>
        <w:tc>
          <w:tcPr>
            <w:tcW w:type="dxa" w:w="3850"/>
            <w:shd w:fill="FFFFFF" w:val="clear"/>
            <w:tcMar>
              <w:top w:type="dxa" w:w="90"/>
              <w:left w:type="dxa" w:w="110"/>
              <w:bottom w:type="dxa" w:w="90"/>
              <w:right w:type="dxa" w:w="110"/>
            </w:tcMar>
            <w:vAlign w:val="center"/>
          </w:tcPr>
          <w:p>
            <w:r>
              <w:rPr>
                <w:b w:val="false"/>
                <w:bCs w:val="false"/>
                <w:color w:val="222222"/>
                <w:sz w:val="19"/>
                <w:szCs w:val="19"/>
              </w:rPr>
              <w:t xml:space="preserve">200 000</w:t>
            </w:r>
          </w:p>
        </w:tc>
      </w:tr>
      <w:tr>
        <w:tc>
          <w:tcPr>
            <w:tcW w:type="dxa" w:w="5500"/>
            <w:shd w:fill="F7F3EA" w:val="clear"/>
            <w:tcMar>
              <w:top w:type="dxa" w:w="90"/>
              <w:left w:type="dxa" w:w="110"/>
              <w:bottom w:type="dxa" w:w="90"/>
              <w:right w:type="dxa" w:w="110"/>
            </w:tcMar>
            <w:vAlign w:val="center"/>
          </w:tcPr>
          <w:p>
            <w:r>
              <w:rPr>
                <w:b w:val="false"/>
                <w:bCs w:val="false"/>
                <w:color w:val="222222"/>
                <w:sz w:val="19"/>
                <w:szCs w:val="19"/>
              </w:rPr>
              <w:t xml:space="preserve">Маркетинг</w:t>
            </w:r>
          </w:p>
        </w:tc>
        <w:tc>
          <w:tcPr>
            <w:tcW w:type="dxa" w:w="3850"/>
            <w:shd w:fill="F7F3EA" w:val="clear"/>
            <w:tcMar>
              <w:top w:type="dxa" w:w="90"/>
              <w:left w:type="dxa" w:w="110"/>
              <w:bottom w:type="dxa" w:w="90"/>
              <w:right w:type="dxa" w:w="110"/>
            </w:tcMar>
            <w:vAlign w:val="center"/>
          </w:tcPr>
          <w:p>
            <w:r>
              <w:rPr>
                <w:b w:val="false"/>
                <w:bCs w:val="false"/>
                <w:color w:val="222222"/>
                <w:sz w:val="19"/>
                <w:szCs w:val="19"/>
              </w:rPr>
              <w:t xml:space="preserve">146 000 (~$400)</w:t>
            </w:r>
          </w:p>
        </w:tc>
      </w:tr>
      <w:tr>
        <w:tc>
          <w:tcPr>
            <w:tcW w:type="dxa" w:w="5500"/>
            <w:shd w:fill="FFFFFF" w:val="clear"/>
            <w:tcMar>
              <w:top w:type="dxa" w:w="90"/>
              <w:left w:type="dxa" w:w="110"/>
              <w:bottom w:type="dxa" w:w="90"/>
              <w:right w:type="dxa" w:w="110"/>
            </w:tcMar>
            <w:vAlign w:val="center"/>
          </w:tcPr>
          <w:p>
            <w:r>
              <w:rPr>
                <w:b w:val="false"/>
                <w:bCs w:val="false"/>
                <w:color w:val="222222"/>
                <w:sz w:val="19"/>
                <w:szCs w:val="19"/>
              </w:rPr>
              <w:t xml:space="preserve">Админ / CRM / облачное хранилище</w:t>
            </w:r>
          </w:p>
        </w:tc>
        <w:tc>
          <w:tcPr>
            <w:tcW w:type="dxa" w:w="3850"/>
            <w:shd w:fill="FFFFFF" w:val="clear"/>
            <w:tcMar>
              <w:top w:type="dxa" w:w="90"/>
              <w:left w:type="dxa" w:w="110"/>
              <w:bottom w:type="dxa" w:w="90"/>
              <w:right w:type="dxa" w:w="110"/>
            </w:tcMar>
            <w:vAlign w:val="center"/>
          </w:tcPr>
          <w:p>
            <w:r>
              <w:rPr>
                <w:b w:val="false"/>
                <w:bCs w:val="false"/>
                <w:color w:val="222222"/>
                <w:sz w:val="19"/>
                <w:szCs w:val="19"/>
              </w:rPr>
              <w:t xml:space="preserve">54 750 (~$150)</w:t>
            </w:r>
          </w:p>
        </w:tc>
      </w:tr>
    </w:tbl>
    <w:p>
      <w:pPr>
        <w:spacing w:after="140" w:line="290"/>
      </w:pPr>
      <w:r>
        <w:rPr>
          <w:i/>
          <w:iCs/>
          <w:color w:val="222222"/>
          <w:sz w:val="19"/>
          <w:szCs w:val="19"/>
        </w:rPr>
        <w:t xml:space="preserve">Плюс переменные прямые расходы команд (расходники): ~73 000 ֏/мес (тяжёлая команда) и ~21 900 ֏/мес (лёгкая команда) — оценка, не подтверждена фактическими закупками.</w:t>
      </w:r>
    </w:p>
    <w:p>
      <w:pPr>
        <w:pStyle w:val="Heading1"/>
        <w:pBdr>
          <w:bottom w:val="single" w:color="B08D3B" w:sz="6" w:space="4"/>
        </w:pBdr>
        <w:spacing w:after="200" w:before="420"/>
      </w:pPr>
      <w:r>
        <w:rPr>
          <w:b/>
          <w:bCs/>
          <w:color w:val="0A111F"/>
          <w:sz w:val="28"/>
          <w:szCs w:val="28"/>
        </w:rPr>
        <w:t xml:space="preserve">10. Налоговый режим</w:t>
      </w:r>
    </w:p>
    <w:p>
      <w:pPr>
        <w:spacing w:after="140" w:line="290"/>
      </w:pPr>
      <w:r>
        <w:rPr>
          <w:color w:val="222222"/>
          <w:sz w:val="21"/>
          <w:szCs w:val="21"/>
        </w:rPr>
        <w:t xml:space="preserve">Рабочее допущение: налог с оборота 10% (для услуг, Армения, 2026) вместо налога на прибыль + НДС.</w:t>
      </w:r>
    </w:p>
    <w:p>
      <w:pPr>
        <w:pBdr>
          <w:left w:val="single" w:color="B08D3B" w:sz="18" w:space="8"/>
        </w:pBdr>
        <w:shd w:fill="FBF0DA" w:val="clear"/>
        <w:spacing w:after="140" w:line="270"/>
        <w:ind w:left="120"/>
      </w:pPr>
      <w:r>
        <w:rPr>
          <w:i/>
          <w:iCs/>
          <w:color w:val="6B5416"/>
          <w:sz w:val="19"/>
          <w:szCs w:val="19"/>
        </w:rPr>
        <w:t xml:space="preserve">⚠ Режим не подтверждён официально ни юристом, ни бухгалтером. Также важно: при превышении оборота ~115 млн ֏/год компания обязана перейти на НДС 20% + налог на прибыль 18% — совершенно другой режим учёта. Бухгалтеру нужно с первого месяца отслеживать нарастающий оборот и заранее спланировать переход, если рост пойдёт по позитивному сценарию (см. раздел 9).</w:t>
      </w:r>
    </w:p>
    <w:p>
      <w:pPr>
        <w:pStyle w:val="Heading1"/>
        <w:pBdr>
          <w:bottom w:val="single" w:color="B08D3B" w:sz="6" w:space="4"/>
        </w:pBdr>
        <w:spacing w:after="200" w:before="420"/>
      </w:pPr>
      <w:r>
        <w:rPr>
          <w:b/>
          <w:bCs/>
          <w:color w:val="0A111F"/>
          <w:sz w:val="28"/>
          <w:szCs w:val="28"/>
        </w:rPr>
        <w:t xml:space="preserve">11. Валюта и масштаб</w:t>
      </w:r>
    </w:p>
    <w:p>
      <w:pPr>
        <w:spacing w:after="140" w:line="290"/>
      </w:pPr>
      <w:r>
        <w:rPr>
          <w:color w:val="222222"/>
          <w:sz w:val="21"/>
          <w:szCs w:val="21"/>
        </w:rPr>
        <w:t xml:space="preserve">Все расчёты и цены — в армянских драмах (֏). USD/EUR/RUB используются только как справочные ориентиры для клиентов (курс ~365 ֏/$ на момент подготовки документа), не как валюта фактических транзакций.</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50"/>
      </w:tblGrid>
      <w:tr>
        <w:trPr>
          <w:tblHeader/>
        </w:trPr>
        <w:tc>
          <w:tcPr>
            <w:tcW w:type="dxa" w:w="3200"/>
            <w:shd w:fill="0A111F" w:val="clear"/>
            <w:tcMar>
              <w:top w:type="dxa" w:w="90"/>
              <w:left w:type="dxa" w:w="110"/>
              <w:bottom w:type="dxa" w:w="90"/>
              <w:right w:type="dxa" w:w="110"/>
            </w:tcMar>
            <w:vAlign w:val="center"/>
          </w:tcPr>
          <w:p>
            <w:r>
              <w:rPr>
                <w:b/>
                <w:bCs/>
                <w:color w:val="FFFFFF"/>
                <w:sz w:val="19"/>
                <w:szCs w:val="19"/>
              </w:rPr>
              <w:t xml:space="preserve">Сценарий Год 1</w:t>
            </w:r>
          </w:p>
        </w:tc>
        <w:tc>
          <w:tcPr>
            <w:tcW w:type="dxa" w:w="3000"/>
            <w:shd w:fill="0A111F" w:val="clear"/>
            <w:tcMar>
              <w:top w:type="dxa" w:w="90"/>
              <w:left w:type="dxa" w:w="110"/>
              <w:bottom w:type="dxa" w:w="90"/>
              <w:right w:type="dxa" w:w="110"/>
            </w:tcMar>
            <w:vAlign w:val="center"/>
          </w:tcPr>
          <w:p>
            <w:r>
              <w:rPr>
                <w:b/>
                <w:bCs/>
                <w:color w:val="FFFFFF"/>
                <w:sz w:val="19"/>
                <w:szCs w:val="19"/>
              </w:rPr>
              <w:t xml:space="preserve">Клиентов на конец года</w:t>
            </w:r>
          </w:p>
        </w:tc>
        <w:tc>
          <w:tcPr>
            <w:tcW w:type="dxa" w:w="3150"/>
            <w:shd w:fill="0A111F" w:val="clear"/>
            <w:tcMar>
              <w:top w:type="dxa" w:w="90"/>
              <w:left w:type="dxa" w:w="110"/>
              <w:bottom w:type="dxa" w:w="90"/>
              <w:right w:type="dxa" w:w="110"/>
            </w:tcMar>
            <w:vAlign w:val="center"/>
          </w:tcPr>
          <w:p>
            <w:r>
              <w:rPr>
                <w:b/>
                <w:bCs/>
                <w:color w:val="FFFFFF"/>
                <w:sz w:val="19"/>
                <w:szCs w:val="19"/>
              </w:rPr>
              <w:t xml:space="preserve">Ориентировочная выручка, ֏</w:t>
            </w:r>
          </w:p>
        </w:tc>
      </w:tr>
      <w:tr>
        <w:tc>
          <w:tcPr>
            <w:tcW w:type="dxa" w:w="3200"/>
            <w:shd w:fill="FFFFFF" w:val="clear"/>
            <w:tcMar>
              <w:top w:type="dxa" w:w="90"/>
              <w:left w:type="dxa" w:w="110"/>
              <w:bottom w:type="dxa" w:w="90"/>
              <w:right w:type="dxa" w:w="110"/>
            </w:tcMar>
            <w:vAlign w:val="center"/>
          </w:tcPr>
          <w:p>
            <w:r>
              <w:rPr>
                <w:b w:val="false"/>
                <w:bCs w:val="false"/>
                <w:color w:val="222222"/>
                <w:sz w:val="19"/>
                <w:szCs w:val="19"/>
              </w:rPr>
              <w:t xml:space="preserve">Худший</w:t>
            </w:r>
          </w:p>
        </w:tc>
        <w:tc>
          <w:tcPr>
            <w:tcW w:type="dxa" w:w="3000"/>
            <w:shd w:fill="FFFFFF" w:val="clear"/>
            <w:tcMar>
              <w:top w:type="dxa" w:w="90"/>
              <w:left w:type="dxa" w:w="110"/>
              <w:bottom w:type="dxa" w:w="90"/>
              <w:right w:type="dxa" w:w="110"/>
            </w:tcMar>
            <w:vAlign w:val="center"/>
          </w:tcPr>
          <w:p>
            <w:r>
              <w:rPr>
                <w:b w:val="false"/>
                <w:bCs w:val="false"/>
                <w:color w:val="222222"/>
                <w:sz w:val="19"/>
                <w:szCs w:val="19"/>
              </w:rPr>
              <w:t xml:space="preserve">160</w:t>
            </w:r>
          </w:p>
        </w:tc>
        <w:tc>
          <w:tcPr>
            <w:tcW w:type="dxa" w:w="3150"/>
            <w:shd w:fill="FFFFFF" w:val="clear"/>
            <w:tcMar>
              <w:top w:type="dxa" w:w="90"/>
              <w:left w:type="dxa" w:w="110"/>
              <w:bottom w:type="dxa" w:w="90"/>
              <w:right w:type="dxa" w:w="110"/>
            </w:tcMar>
            <w:vAlign w:val="center"/>
          </w:tcPr>
          <w:p>
            <w:r>
              <w:rPr>
                <w:b w:val="false"/>
                <w:bCs w:val="false"/>
                <w:color w:val="222222"/>
                <w:sz w:val="19"/>
                <w:szCs w:val="19"/>
              </w:rPr>
              <w:t xml:space="preserve">≈29 280 000</w:t>
            </w:r>
          </w:p>
        </w:tc>
      </w:tr>
      <w:tr>
        <w:tc>
          <w:tcPr>
            <w:tcW w:type="dxa" w:w="3200"/>
            <w:shd w:fill="F7F3EA" w:val="clear"/>
            <w:tcMar>
              <w:top w:type="dxa" w:w="90"/>
              <w:left w:type="dxa" w:w="110"/>
              <w:bottom w:type="dxa" w:w="90"/>
              <w:right w:type="dxa" w:w="110"/>
            </w:tcMar>
            <w:vAlign w:val="center"/>
          </w:tcPr>
          <w:p>
            <w:r>
              <w:rPr>
                <w:b w:val="false"/>
                <w:bCs w:val="false"/>
                <w:color w:val="222222"/>
                <w:sz w:val="19"/>
                <w:szCs w:val="19"/>
              </w:rPr>
              <w:t xml:space="preserve">Нормальный</w:t>
            </w:r>
          </w:p>
        </w:tc>
        <w:tc>
          <w:tcPr>
            <w:tcW w:type="dxa" w:w="3000"/>
            <w:shd w:fill="F7F3EA" w:val="clear"/>
            <w:tcMar>
              <w:top w:type="dxa" w:w="90"/>
              <w:left w:type="dxa" w:w="110"/>
              <w:bottom w:type="dxa" w:w="90"/>
              <w:right w:type="dxa" w:w="110"/>
            </w:tcMar>
            <w:vAlign w:val="center"/>
          </w:tcPr>
          <w:p>
            <w:r>
              <w:rPr>
                <w:b w:val="false"/>
                <w:bCs w:val="false"/>
                <w:color w:val="222222"/>
                <w:sz w:val="19"/>
                <w:szCs w:val="19"/>
              </w:rPr>
              <w:t xml:space="preserve">220</w:t>
            </w:r>
          </w:p>
        </w:tc>
        <w:tc>
          <w:tcPr>
            <w:tcW w:type="dxa" w:w="3150"/>
            <w:shd w:fill="F7F3EA" w:val="clear"/>
            <w:tcMar>
              <w:top w:type="dxa" w:w="90"/>
              <w:left w:type="dxa" w:w="110"/>
              <w:bottom w:type="dxa" w:w="90"/>
              <w:right w:type="dxa" w:w="110"/>
            </w:tcMar>
            <w:vAlign w:val="center"/>
          </w:tcPr>
          <w:p>
            <w:r>
              <w:rPr>
                <w:b w:val="false"/>
                <w:bCs w:val="false"/>
                <w:color w:val="222222"/>
                <w:sz w:val="19"/>
                <w:szCs w:val="19"/>
              </w:rPr>
              <w:t xml:space="preserve">≈40 260 000</w:t>
            </w:r>
          </w:p>
        </w:tc>
      </w:tr>
      <w:tr>
        <w:tc>
          <w:tcPr>
            <w:tcW w:type="dxa" w:w="3200"/>
            <w:shd w:fill="FFFFFF" w:val="clear"/>
            <w:tcMar>
              <w:top w:type="dxa" w:w="90"/>
              <w:left w:type="dxa" w:w="110"/>
              <w:bottom w:type="dxa" w:w="90"/>
              <w:right w:type="dxa" w:w="110"/>
            </w:tcMar>
            <w:vAlign w:val="center"/>
          </w:tcPr>
          <w:p>
            <w:r>
              <w:rPr>
                <w:b w:val="false"/>
                <w:bCs w:val="false"/>
                <w:color w:val="222222"/>
                <w:sz w:val="19"/>
                <w:szCs w:val="19"/>
              </w:rPr>
              <w:t xml:space="preserve">Позитивный</w:t>
            </w:r>
          </w:p>
        </w:tc>
        <w:tc>
          <w:tcPr>
            <w:tcW w:type="dxa" w:w="3000"/>
            <w:shd w:fill="FFFFFF" w:val="clear"/>
            <w:tcMar>
              <w:top w:type="dxa" w:w="90"/>
              <w:left w:type="dxa" w:w="110"/>
              <w:bottom w:type="dxa" w:w="90"/>
              <w:right w:type="dxa" w:w="110"/>
            </w:tcMar>
            <w:vAlign w:val="center"/>
          </w:tcPr>
          <w:p>
            <w:r>
              <w:rPr>
                <w:b w:val="false"/>
                <w:bCs w:val="false"/>
                <w:color w:val="222222"/>
                <w:sz w:val="19"/>
                <w:szCs w:val="19"/>
              </w:rPr>
              <w:t xml:space="preserve">300</w:t>
            </w:r>
          </w:p>
        </w:tc>
        <w:tc>
          <w:tcPr>
            <w:tcW w:type="dxa" w:w="3150"/>
            <w:shd w:fill="FFFFFF" w:val="clear"/>
            <w:tcMar>
              <w:top w:type="dxa" w:w="90"/>
              <w:left w:type="dxa" w:w="110"/>
              <w:bottom w:type="dxa" w:w="90"/>
              <w:right w:type="dxa" w:w="110"/>
            </w:tcMar>
            <w:vAlign w:val="center"/>
          </w:tcPr>
          <w:p>
            <w:r>
              <w:rPr>
                <w:b w:val="false"/>
                <w:bCs w:val="false"/>
                <w:color w:val="222222"/>
                <w:sz w:val="19"/>
                <w:szCs w:val="19"/>
              </w:rPr>
              <w:t xml:space="preserve">≈54 900 000</w:t>
            </w:r>
          </w:p>
        </w:tc>
      </w:tr>
    </w:tbl>
    <w:p>
      <w:pPr>
        <w:spacing w:after="140" w:line="290"/>
      </w:pPr>
      <w:r>
        <w:rPr>
          <w:i/>
          <w:iCs/>
          <w:color w:val="222222"/>
          <w:sz w:val="19"/>
          <w:szCs w:val="19"/>
        </w:rPr>
        <w:t xml:space="preserve">Даже в позитивном сценарии Год 1 выручка (~55 млн ֏) далеко ниже порога перехода на НДС (~115 млн ֏) — но это стоит регулярно пересчитывать по факту, особенно при экспансии в другие города.</w:t>
      </w:r>
    </w:p>
    <w:p>
      <w:pPr>
        <w:pStyle w:val="Heading1"/>
        <w:pBdr>
          <w:bottom w:val="single" w:color="B08D3B" w:sz="6" w:space="4"/>
        </w:pBdr>
        <w:spacing w:after="200" w:before="420"/>
      </w:pPr>
      <w:r>
        <w:rPr>
          <w:b/>
          <w:bCs/>
          <w:color w:val="0A111F"/>
          <w:sz w:val="28"/>
          <w:szCs w:val="28"/>
        </w:rPr>
        <w:t xml:space="preserve">12. Список открытых вопросов — к бухгалтеру</w:t>
      </w:r>
    </w:p>
    <w:p>
      <w:pPr>
        <w:pStyle w:val="ListParagraph"/>
        <w:numPr>
          <w:ilvl w:val="0"/>
          <w:numId w:val="2"/>
        </w:numPr>
        <w:spacing w:after="90" w:line="270"/>
      </w:pPr>
      <w:r>
        <w:rPr>
          <w:color w:val="1A4D8F"/>
          <w:sz w:val="21"/>
          <w:szCs w:val="21"/>
        </w:rPr>
        <w:t xml:space="preserve">? Налоговый номер компании — ожидается от юриста, пока недоступен</w:t>
      </w:r>
    </w:p>
    <w:p>
      <w:pPr>
        <w:pStyle w:val="ListParagraph"/>
        <w:numPr>
          <w:ilvl w:val="0"/>
          <w:numId w:val="2"/>
        </w:numPr>
        <w:spacing w:after="90" w:line="270"/>
      </w:pPr>
      <w:r>
        <w:rPr>
          <w:color w:val="1A4D8F"/>
          <w:sz w:val="21"/>
          <w:szCs w:val="21"/>
        </w:rPr>
        <w:t xml:space="preserve">? Признавать выручку по кассе или методом начисления (deferred revenue) по годовым подпискам?</w:t>
      </w:r>
    </w:p>
    <w:p>
      <w:pPr>
        <w:pStyle w:val="ListParagraph"/>
        <w:numPr>
          <w:ilvl w:val="0"/>
          <w:numId w:val="2"/>
        </w:numPr>
        <w:spacing w:after="90" w:line="270"/>
      </w:pPr>
      <w:r>
        <w:rPr>
          <w:color w:val="1A4D8F"/>
          <w:sz w:val="21"/>
          <w:szCs w:val="21"/>
        </w:rPr>
        <w:t xml:space="preserve">? Как оформлены сотрудники — трудовой договор или гражданско-правовой? Юрист — в штате или на договоре? (решает бухгалтер/юрист)</w:t>
      </w:r>
    </w:p>
    <w:p>
      <w:pPr>
        <w:pStyle w:val="ListParagraph"/>
        <w:numPr>
          <w:ilvl w:val="0"/>
          <w:numId w:val="2"/>
        </w:numPr>
        <w:spacing w:after="90" w:line="270"/>
      </w:pPr>
      <w:r>
        <w:rPr>
          <w:color w:val="1A4D8F"/>
          <w:sz w:val="21"/>
          <w:szCs w:val="21"/>
        </w:rPr>
        <w:t xml:space="preserve">? Подтвердить сроки полезного использования (налоговая амортизация) для инструмента и набора лёгкой команды</w:t>
      </w:r>
    </w:p>
    <w:p>
      <w:pPr>
        <w:pStyle w:val="ListParagraph"/>
        <w:numPr>
          <w:ilvl w:val="0"/>
          <w:numId w:val="2"/>
        </w:numPr>
        <w:spacing w:after="90" w:line="270"/>
      </w:pPr>
      <w:r>
        <w:rPr>
          <w:color w:val="1A4D8F"/>
          <w:sz w:val="21"/>
          <w:szCs w:val="21"/>
        </w:rPr>
        <w:t xml:space="preserve">? Определить рыночную ставку аренды Ford Transit Connect (David → компания) и оформить договор аренды</w:t>
      </w:r>
    </w:p>
    <w:p>
      <w:pPr>
        <w:pStyle w:val="ListParagraph"/>
        <w:numPr>
          <w:ilvl w:val="0"/>
          <w:numId w:val="2"/>
        </w:numPr>
        <w:spacing w:after="90" w:line="270"/>
      </w:pPr>
      <w:r>
        <w:rPr>
          <w:color w:val="1A4D8F"/>
          <w:sz w:val="21"/>
          <w:szCs w:val="21"/>
        </w:rPr>
        <w:t xml:space="preserve">? Подтвердить применимость налога с оборота 10% и порядок мониторинга порога перехода на НДС/налог на прибыль (решает бухгалтер)</w:t>
      </w:r>
    </w:p>
    <w:p>
      <w:pPr>
        <w:pStyle w:val="ListParagraph"/>
        <w:numPr>
          <w:ilvl w:val="0"/>
          <w:numId w:val="2"/>
        </w:numPr>
        <w:spacing w:after="90" w:line="270"/>
      </w:pPr>
      <w:r>
        <w:rPr>
          <w:color w:val="1A4D8F"/>
          <w:sz w:val="21"/>
          <w:szCs w:val="21"/>
        </w:rPr>
        <w:t xml:space="preserve">? Как учитывать разовый платёж и годовую ренту за QR-страницу памяти — как единый пакет с уборкой или отдельно? (Решено: отдельно от подписки на уборку — нужно определить внутреннюю учётную политику признания)</w:t>
      </w:r>
    </w:p>
    <w:p>
      <w:pPr>
        <w:pStyle w:val="ListParagraph"/>
        <w:numPr>
          <w:ilvl w:val="0"/>
          <w:numId w:val="2"/>
        </w:numPr>
        <w:spacing w:after="90" w:line="270"/>
      </w:pPr>
      <w:r>
        <w:rPr>
          <w:color w:val="1A4D8F"/>
          <w:sz w:val="21"/>
          <w:szCs w:val="21"/>
        </w:rPr>
        <w:t xml:space="preserve">? Нужен ли резерв под архивные (неоплаченные, но ещё не удалённые) QR-страницы как обязательство? (решает бухгалтер)</w:t>
      </w:r>
    </w:p>
    <w:p>
      <w:pPr>
        <w:pStyle w:val="ListParagraph"/>
        <w:numPr>
          <w:ilvl w:val="0"/>
          <w:numId w:val="2"/>
        </w:numPr>
        <w:spacing w:after="90" w:line="270"/>
      </w:pPr>
      <w:r>
        <w:rPr>
          <w:color w:val="1A4D8F"/>
          <w:sz w:val="21"/>
          <w:szCs w:val="21"/>
        </w:rPr>
        <w:t xml:space="preserve">? Оформить договор займа от David компании — сумма, срок, наличие процентов</w:t>
      </w:r>
    </w:p>
    <w:p>
      <w:pPr>
        <w:pStyle w:val="ListParagraph"/>
        <w:numPr>
          <w:ilvl w:val="0"/>
          <w:numId w:val="2"/>
        </w:numPr>
        <w:spacing w:after="90" w:line="270"/>
      </w:pPr>
      <w:r>
        <w:rPr>
          <w:color w:val="1A4D8F"/>
          <w:sz w:val="21"/>
          <w:szCs w:val="21"/>
        </w:rPr>
        <w:t xml:space="preserve">? Нужен ли онлайн-кассовый аппарат для приёма оплат картой от физлиц? (решает бухгалтер)</w:t>
      </w:r>
    </w:p>
    <w:p>
      <w:pPr>
        <w:pStyle w:val="ListParagraph"/>
        <w:numPr>
          <w:ilvl w:val="0"/>
          <w:numId w:val="2"/>
        </w:numPr>
        <w:spacing w:after="90" w:line="270"/>
      </w:pPr>
      <w:r>
        <w:rPr>
          <w:color w:val="1A4D8F"/>
          <w:sz w:val="21"/>
          <w:szCs w:val="21"/>
        </w:rPr>
        <w:t xml:space="preserve">? Какой финансовый/отчётный год использовать? (решает бухгалтер)</w:t>
      </w:r>
    </w:p>
    <w:p>
      <w:pPr>
        <w:pStyle w:val="ListParagraph"/>
        <w:numPr>
          <w:ilvl w:val="0"/>
          <w:numId w:val="2"/>
        </w:numPr>
        <w:spacing w:after="90" w:line="270"/>
      </w:pPr>
      <w:r>
        <w:rPr>
          <w:color w:val="1A4D8F"/>
          <w:sz w:val="21"/>
          <w:szCs w:val="21"/>
        </w:rPr>
        <w:t xml:space="preserve">? Письменное соглашение о фактической доле Hayk (30%) — оформить или сознательно оставить неформальным (решение учредителей)</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2026-07-31T22:09:33.903Z</dcterms:created>
  <dcterms:modified xsi:type="dcterms:W3CDTF">2026-07-31T22:09:33.905Z</dcterms:modified>
</cp:coreProperties>
</file>

<file path=docProps/custom.xml><?xml version="1.0" encoding="utf-8"?>
<Properties xmlns="http://schemas.openxmlformats.org/officeDocument/2006/custom-properties" xmlns:vt="http://schemas.openxmlformats.org/officeDocument/2006/docPropsVTypes"/>
</file>