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Georgia" w:cs="Georgia" w:eastAsia="Georgia" w:hAnsi="Georgia"/>
          <w:b/>
          <w:bCs/>
          <w:color w:val="0A111F"/>
          <w:sz w:val="64"/>
          <w:szCs w:val="64"/>
        </w:rPr>
        <w:t xml:space="preserve">MEMORY CARE</w:t>
      </w:r>
    </w:p>
    <w:p>
      <w:pPr>
        <w:spacing w:after="40" w:before="120"/>
        <w:jc w:val="center"/>
      </w:pPr>
      <w:r>
        <w:rPr>
          <w:i/>
          <w:iCs/>
          <w:color w:val="B08D3B"/>
          <w:sz w:val="26"/>
          <w:szCs w:val="26"/>
        </w:rPr>
        <w:t xml:space="preserve">Grave &amp; Memorial Care Services</w:t>
      </w:r>
    </w:p>
    <w:p>
      <w:pPr>
        <w:spacing w:after="40" w:before="40"/>
        <w:jc w:val="center"/>
      </w:pPr>
      <w:r>
        <w:rPr>
          <w:i/>
          <w:iCs/>
          <w:color w:val="595959"/>
          <w:sz w:val="22"/>
          <w:szCs w:val="22"/>
        </w:rPr>
        <w:t xml:space="preserve">«Память, которая не увядает»</w:t>
      </w:r>
    </w:p>
    <w:p>
      <w:pPr>
        <w:spacing w:before="800"/>
      </w:pPr>
    </w:p>
    <w:p>
      <w:pPr>
        <w:jc w:val="center"/>
      </w:pPr>
      <w:r>
        <w:rPr>
          <w:b/>
          <w:bCs/>
          <w:color w:val="0A111F"/>
          <w:sz w:val="34"/>
          <w:szCs w:val="34"/>
        </w:rPr>
        <w:t xml:space="preserve">БИЗНЕС-ПЛАН</w:t>
      </w:r>
    </w:p>
    <w:p>
      <w:pPr>
        <w:spacing w:before="80"/>
        <w:jc w:val="center"/>
      </w:pPr>
      <w:r>
        <w:rPr>
          <w:color w:val="595959"/>
          <w:sz w:val="22"/>
          <w:szCs w:val="22"/>
        </w:rPr>
        <w:t xml:space="preserve">Memory Care LLC · Ереван, Армения</w:t>
      </w:r>
    </w:p>
    <w:p>
      <w:pPr>
        <w:spacing w:before="400"/>
        <w:jc w:val="center"/>
      </w:pPr>
      <w:r>
        <w:rPr>
          <w:color w:val="595959"/>
          <w:sz w:val="20"/>
          <w:szCs w:val="20"/>
        </w:rPr>
        <w:t xml:space="preserve">Август 2026</w:t>
      </w:r>
    </w:p>
    <w:p>
      <w:pPr>
        <w:spacing w:before="2600"/>
        <w:jc w:val="center"/>
      </w:pPr>
      <w:r>
        <w:rPr>
          <w:i/>
          <w:iCs/>
          <w:color w:val="999999"/>
          <w:sz w:val="18"/>
          <w:szCs w:val="18"/>
        </w:rPr>
        <w:t xml:space="preserve">Конфиденциально · для внутреннего использования и инвестора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B08D3B" w:sz="6" w:space="4"/>
        </w:pBdr>
        <w:spacing w:after="200" w:before="420"/>
      </w:pPr>
      <w:r>
        <w:rPr>
          <w:b/>
          <w:bCs/>
          <w:color w:val="0A111F"/>
          <w:sz w:val="30"/>
          <w:szCs w:val="30"/>
        </w:rPr>
        <w:t xml:space="preserve">1. Резюме проекта (Executive Summary)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Memory Care — подписочный сервис премиального ухода, регулярного мониторинга и мелкого ремонта семейных захоронений в Армении с верифицируемой фото- и видеоотчётностью. Старт — Ереван (Центральное кладбище), с последующим расширением на другие города Армении.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Ключевая ценность для основной аудитории — армянской диаспоры (США, Франция, Россия, Европа) — снятие эмоциональной "вины расстояния": возможность быть уверенным, что могила родных ухожена, без необходимости личного присутствия. Для локального премиального сегмента ценность рациональна — сохранение памяти без затрат личного времени.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Компания зарегистрирована (Memory Care LLC). Проведено 10 клиентских интервью — все отклики положительные, наибольший интерес вызвал средний тариф "Оптимальный", что совпадает с заложенной в модели структурой спроса (55% клиентов). Домен memorycare.am приобретён, разработка сайта начата.</w:t>
      </w:r>
    </w:p>
    <w:p>
      <w:pPr>
        <w:spacing w:after="160" w:line="300"/>
      </w:pPr>
      <w:r>
        <w:rPr>
          <w:b/>
          <w:bCs/>
          <w:color w:val="222222"/>
          <w:sz w:val="22"/>
          <w:szCs w:val="22"/>
        </w:rPr>
        <w:t xml:space="preserve">Ключевые цифры на старте: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22222"/>
          <w:sz w:val="22"/>
          <w:szCs w:val="22"/>
        </w:rPr>
        <w:t xml:space="preserve">3 тарифа: 80 000 / 180 000 / 240 000 ֏ в год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22222"/>
          <w:sz w:val="22"/>
          <w:szCs w:val="22"/>
        </w:rPr>
        <w:t xml:space="preserve">Валовая маржинальность тарифов: 54–73%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22222"/>
          <w:sz w:val="22"/>
          <w:szCs w:val="22"/>
        </w:rPr>
        <w:t xml:space="preserve">Запрос финансирования: до $50 000–60 000 от David Hambardzumyan в форме займа компании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22222"/>
          <w:sz w:val="22"/>
          <w:szCs w:val="22"/>
        </w:rPr>
        <w:t xml:space="preserve">Целевой охват: ориентировочно 10 000 семей диаспоры в горизонте 3–5 лет</w:t>
      </w:r>
    </w:p>
    <w:p>
      <w:pPr>
        <w:pBdr>
          <w:left w:val="single" w:color="B08D3B" w:sz="18" w:space="8"/>
        </w:pBdr>
        <w:shd w:fill="FBF0DA" w:val="clear"/>
        <w:spacing w:after="160" w:line="280"/>
        <w:ind w:left="120"/>
      </w:pPr>
      <w:r>
        <w:rPr>
          <w:i/>
          <w:iCs/>
          <w:color w:val="6B5416"/>
          <w:sz w:val="20"/>
          <w:szCs w:val="20"/>
        </w:rPr>
        <w:t xml:space="preserve">⚠ Часть финансовых показателей (детальная помесячная модель денежного потока) находится на финальной сверке — в документе используются согласованные юнит-экономические показатели, а не ещё не выверенная модель целиком.</w:t>
      </w:r>
    </w:p>
    <w:p>
      <w:pPr>
        <w:pStyle w:val="Heading1"/>
        <w:pBdr>
          <w:bottom w:val="single" w:color="B08D3B" w:sz="6" w:space="4"/>
        </w:pBdr>
        <w:spacing w:after="200" w:before="420"/>
      </w:pPr>
      <w:r>
        <w:rPr>
          <w:b/>
          <w:bCs/>
          <w:color w:val="0A111F"/>
          <w:sz w:val="30"/>
          <w:szCs w:val="30"/>
        </w:rPr>
        <w:t xml:space="preserve">2. Компания и продукт</w:t>
      </w:r>
    </w:p>
    <w:p>
      <w:pPr>
        <w:pStyle w:val="Heading2"/>
        <w:spacing w:after="140" w:before="280"/>
      </w:pPr>
      <w:r>
        <w:rPr>
          <w:b/>
          <w:bCs/>
          <w:color w:val="0A111F"/>
          <w:sz w:val="24"/>
          <w:szCs w:val="24"/>
        </w:rPr>
        <w:t xml:space="preserve">2.1 Суть бизнеса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Memory Care предоставляет три уровня обслуживания могил по подписке: от разового визита до полного годового цикла из 12 визитов, сочетающих глубокую ("тяжёлую") уборку и лёгкое профилактическое обслуживание. Каждый визит документируется фото- и видеоотчётом с GPS-геометкой и датой, доступным клиенту через личный кабинет/CRM.</w:t>
      </w:r>
    </w:p>
    <w:p>
      <w:pPr>
        <w:pStyle w:val="Heading2"/>
        <w:spacing w:after="140" w:before="280"/>
      </w:pPr>
      <w:r>
        <w:rPr>
          <w:b/>
          <w:bCs/>
          <w:color w:val="0A111F"/>
          <w:sz w:val="24"/>
          <w:szCs w:val="24"/>
        </w:rPr>
        <w:t xml:space="preserve">2.2 Дополнительный продукт — цифровая страница памяти (QR)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QR-код на памятнике ведёт на цифровую страницу: фотогалерея, биография, возможность для приглашённых родственников (по ссылке/коду доступа, без открытой публичной модерации) оставлять сообщения. Монетизация — гибрид: включено бесплатно в тариф "Максимум", платный апсейл к остальным тарифам, а также доступно как самостоятельный продукт без подписки на уборку. Ценовая модель — разовый платёж за установку + небольшая ежегодная рента за хостинг.</w:t>
      </w:r>
    </w:p>
    <w:p>
      <w:pPr>
        <w:pStyle w:val="Heading2"/>
        <w:spacing w:after="140" w:before="280"/>
      </w:pPr>
      <w:r>
        <w:rPr>
          <w:b/>
          <w:bCs/>
          <w:color w:val="0A111F"/>
          <w:sz w:val="24"/>
          <w:szCs w:val="24"/>
        </w:rPr>
        <w:t xml:space="preserve">2.3 Бренд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Символ бренда — армянская незабудка (Անմոռուկ), палитра Midnight Navy / Antique Gold / Celestial Blue. Слоган: «Память, которая не увядает» / «Рядом с родными, сквозь любые расстояния». Позиционирование — премиальное, тёплое, без траурных клише.</w:t>
      </w:r>
    </w:p>
    <w:p>
      <w:pPr>
        <w:pStyle w:val="Heading1"/>
        <w:pBdr>
          <w:bottom w:val="single" w:color="B08D3B" w:sz="6" w:space="4"/>
        </w:pBdr>
        <w:spacing w:after="200" w:before="420"/>
      </w:pPr>
      <w:r>
        <w:rPr>
          <w:b/>
          <w:bCs/>
          <w:color w:val="0A111F"/>
          <w:sz w:val="30"/>
          <w:szCs w:val="30"/>
        </w:rPr>
        <w:t xml:space="preserve">3. Рынок и целевая аудитория</w:t>
      </w:r>
    </w:p>
    <w:p>
      <w:pPr>
        <w:pStyle w:val="Heading2"/>
        <w:spacing w:after="140" w:before="280"/>
      </w:pPr>
      <w:r>
        <w:rPr>
          <w:b/>
          <w:bCs/>
          <w:color w:val="0A111F"/>
          <w:sz w:val="24"/>
          <w:szCs w:val="24"/>
        </w:rPr>
        <w:t xml:space="preserve">3.1 Сегменты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22222"/>
          <w:sz w:val="22"/>
          <w:szCs w:val="22"/>
        </w:rPr>
        <w:t xml:space="preserve">Армянская диаспора (США, Франция, РФ, Европа) — основной сегмент, эмоциональный продукт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22222"/>
          <w:sz w:val="22"/>
          <w:szCs w:val="22"/>
        </w:rPr>
        <w:t xml:space="preserve">Локальный премиальный сегмент Еревана (доход выше среднего) — рациональный продукт</w:t>
      </w:r>
    </w:p>
    <w:p>
      <w:pPr>
        <w:pStyle w:val="Heading2"/>
        <w:spacing w:after="140" w:before="280"/>
      </w:pPr>
      <w:r>
        <w:rPr>
          <w:b/>
          <w:bCs/>
          <w:color w:val="0A111F"/>
          <w:sz w:val="24"/>
          <w:szCs w:val="24"/>
        </w:rPr>
        <w:t xml:space="preserve">3.2 Оценка объёма рынка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По оценке основателей, реалистично достижимый объём в горизонте 3–5 лет — порядка 10 000 семей диаспоры, готовых оформить подписку на уход за родовыми захоронениями в Армении.</w:t>
      </w:r>
    </w:p>
    <w:p>
      <w:pPr>
        <w:pBdr>
          <w:left w:val="single" w:color="B08D3B" w:sz="18" w:space="8"/>
        </w:pBdr>
        <w:shd w:fill="FBF0DA" w:val="clear"/>
        <w:spacing w:after="160" w:line="280"/>
        <w:ind w:left="120"/>
      </w:pPr>
      <w:r>
        <w:rPr>
          <w:i/>
          <w:iCs/>
          <w:color w:val="6B5416"/>
          <w:sz w:val="20"/>
          <w:szCs w:val="20"/>
        </w:rPr>
        <w:t xml:space="preserve">⚠ Это оценка основателей, не подтверждённая внешним исследованием рынка (переписью диаспоры, данными кладбищ и т.д.). Рекомендуется в течение первого года провести более точный расчёт адресуемого рынка (TAM/SAM/SOM) на основе реальной конверсии из первых маркетинговых кампаний.</w:t>
      </w:r>
    </w:p>
    <w:p>
      <w:pPr>
        <w:pStyle w:val="Heading2"/>
        <w:spacing w:after="140" w:before="280"/>
      </w:pPr>
      <w:r>
        <w:rPr>
          <w:b/>
          <w:bCs/>
          <w:color w:val="0A111F"/>
          <w:sz w:val="24"/>
          <w:szCs w:val="24"/>
        </w:rPr>
        <w:t xml:space="preserve">3.3 Валидация спроса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Проведено 10 клиентских интервью — локальный сегмент, из личного окружения David и Hayk, мужчины и женщины 35–45 лет, Ереван и окрестности. Результат: 100% положительных откликов, наибольший интерес — к тарифу "Оптимальный" (180 000 ֏/год, 6 визитов), что подтверждает выбранную структуру тарифной линейки и её ценовое позиционирование.</w:t>
      </w:r>
    </w:p>
    <w:p>
      <w:pPr>
        <w:pBdr>
          <w:left w:val="single" w:color="B08D3B" w:sz="18" w:space="8"/>
        </w:pBdr>
        <w:shd w:fill="FBF0DA" w:val="clear"/>
        <w:spacing w:after="160" w:line="280"/>
        <w:ind w:left="120"/>
      </w:pPr>
      <w:r>
        <w:rPr>
          <w:i/>
          <w:iCs/>
          <w:color w:val="6B5416"/>
          <w:sz w:val="20"/>
          <w:szCs w:val="20"/>
        </w:rPr>
        <w:t xml:space="preserve">⚠ Выборка пока небольшая и однородная (10 человек, личный круг знакомств, только локальный сегмент) — не включает диаспору, которая является основной эмоциональной аудиторией продукта. Рекомендуется провести отдельный раунд интервью с представителями диаспоры и с более широкой, не связанной с основателями аудиторией, прежде чем считать спрос окончательно подтверждённым.</w:t>
      </w:r>
    </w:p>
    <w:p>
      <w:pPr>
        <w:pStyle w:val="Heading1"/>
        <w:pBdr>
          <w:bottom w:val="single" w:color="B08D3B" w:sz="6" w:space="4"/>
        </w:pBdr>
        <w:spacing w:after="200" w:before="420"/>
      </w:pPr>
      <w:r>
        <w:rPr>
          <w:b/>
          <w:bCs/>
          <w:color w:val="0A111F"/>
          <w:sz w:val="30"/>
          <w:szCs w:val="30"/>
        </w:rPr>
        <w:t xml:space="preserve">4. Конкурентный анализ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Организованной компании-конкурента на рынке не выявлено. Присутствие ограничивается разрозненными объявлениями частных исполнителей на list.am и несколькими частниками, рекламирующими услуги в Instagram — без единого бренда, регулярной подписки, цифровой отчётности или систематизированного сервиса.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Ключевое отличие Memory Care — регулярность по подписке, верифицируемая фотоотчётность с GPS/датой, и цифровой продукт (QR-страница памяти), которых нет у существующих игроков.</w:t>
      </w:r>
    </w:p>
    <w:p>
      <w:pPr>
        <w:pBdr>
          <w:left w:val="single" w:color="B08D3B" w:sz="18" w:space="8"/>
        </w:pBdr>
        <w:shd w:fill="FBF0DA" w:val="clear"/>
        <w:spacing w:after="160" w:line="280"/>
        <w:ind w:left="120"/>
      </w:pPr>
      <w:r>
        <w:rPr>
          <w:i/>
          <w:iCs/>
          <w:color w:val="6B5416"/>
          <w:sz w:val="20"/>
          <w:szCs w:val="20"/>
        </w:rPr>
        <w:t xml:space="preserve">⚠ Анализ ограничен общим наблюдением рынка (list.am, Instagram), без сбора цен, отзывов и объёмов конкретных частников — рекомендуется как задача на ближайший месяц, особенно перед запуском маркетинга.</w:t>
      </w:r>
    </w:p>
    <w:p>
      <w:pPr>
        <w:pStyle w:val="Heading1"/>
        <w:pBdr>
          <w:bottom w:val="single" w:color="B08D3B" w:sz="6" w:space="4"/>
        </w:pBdr>
        <w:spacing w:after="200" w:before="420"/>
      </w:pPr>
      <w:r>
        <w:rPr>
          <w:b/>
          <w:bCs/>
          <w:color w:val="0A111F"/>
          <w:sz w:val="30"/>
          <w:szCs w:val="30"/>
        </w:rPr>
        <w:t xml:space="preserve">5. Тарифная линейка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1500"/>
        <w:gridCol w:w="1650"/>
        <w:gridCol w:w="1000"/>
      </w:tblGrid>
      <w:tr>
        <w:trPr>
          <w:tblHeader/>
        </w:trPr>
        <w:tc>
          <w:tcPr>
            <w:tcW w:type="dxa" w:w="3200"/>
            <w:shd w:fill="0A111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Тариф</w:t>
            </w:r>
          </w:p>
        </w:tc>
        <w:tc>
          <w:tcPr>
            <w:tcW w:type="dxa" w:w="2000"/>
            <w:shd w:fill="0A111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Визитов/год</w:t>
            </w:r>
          </w:p>
        </w:tc>
        <w:tc>
          <w:tcPr>
            <w:tcW w:type="dxa" w:w="1500"/>
            <w:shd w:fill="0A111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Цена, ֏</w:t>
            </w:r>
          </w:p>
        </w:tc>
        <w:tc>
          <w:tcPr>
            <w:tcW w:type="dxa" w:w="1650"/>
            <w:shd w:fill="0A111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Цена, $ (курс 365)</w:t>
            </w:r>
          </w:p>
        </w:tc>
        <w:tc>
          <w:tcPr>
            <w:tcW w:type="dxa" w:w="1000"/>
            <w:shd w:fill="0A111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Доля в миксе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Экспресс (разовый)</w:t>
            </w:r>
          </w:p>
        </w:tc>
        <w:tc>
          <w:tcPr>
            <w:tcW w:type="dxa" w:w="2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 тяжёлый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80 000</w:t>
            </w:r>
          </w:p>
        </w:tc>
        <w:tc>
          <w:tcPr>
            <w:tcW w:type="dxa" w:w="16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≈219</w:t>
            </w:r>
          </w:p>
        </w:tc>
        <w:tc>
          <w:tcPr>
            <w:tcW w:type="dxa" w:w="1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15%</w:t>
            </w:r>
          </w:p>
        </w:tc>
      </w:tr>
      <w:tr>
        <w:tc>
          <w:tcPr>
            <w:tcW w:type="dxa" w:w="3200"/>
            <w:shd w:fill="F7F3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Оптимальный — бестселлер</w:t>
            </w:r>
          </w:p>
        </w:tc>
        <w:tc>
          <w:tcPr>
            <w:tcW w:type="dxa" w:w="2000"/>
            <w:shd w:fill="F7F3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 тяж. + 4 лёгк.</w:t>
            </w:r>
          </w:p>
        </w:tc>
        <w:tc>
          <w:tcPr>
            <w:tcW w:type="dxa" w:w="1500"/>
            <w:shd w:fill="F7F3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180 000</w:t>
            </w:r>
          </w:p>
        </w:tc>
        <w:tc>
          <w:tcPr>
            <w:tcW w:type="dxa" w:w="1650"/>
            <w:shd w:fill="F7F3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≈493</w:t>
            </w:r>
          </w:p>
        </w:tc>
        <w:tc>
          <w:tcPr>
            <w:tcW w:type="dxa" w:w="1000"/>
            <w:shd w:fill="F7F3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55%</w:t>
            </w:r>
          </w:p>
        </w:tc>
      </w:tr>
      <w:tr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Максимум</w:t>
            </w:r>
          </w:p>
        </w:tc>
        <w:tc>
          <w:tcPr>
            <w:tcW w:type="dxa" w:w="2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 тяж. + 8 лёгк.</w:t>
            </w:r>
          </w:p>
        </w:tc>
        <w:tc>
          <w:tcPr>
            <w:tcW w:type="dxa" w:w="1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240 000</w:t>
            </w:r>
          </w:p>
        </w:tc>
        <w:tc>
          <w:tcPr>
            <w:tcW w:type="dxa" w:w="16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≈658</w:t>
            </w:r>
          </w:p>
        </w:tc>
        <w:tc>
          <w:tcPr>
            <w:tcW w:type="dxa" w:w="10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30%</w:t>
            </w:r>
          </w:p>
        </w:tc>
      </w:tr>
    </w:tbl>
    <w:p>
      <w:pPr>
        <w:spacing w:after="160" w:line="300"/>
      </w:pPr>
      <w:r>
        <w:rPr>
          <w:i/>
          <w:iCs/>
          <w:color w:val="222222"/>
          <w:sz w:val="20"/>
          <w:szCs w:val="20"/>
        </w:rPr>
        <w:t xml:space="preserve">Правило площади: базовый тариф покрывает участок до 16 м². Превышение — доплата +20$/м² (локальные клиенты) или +30$/м² (диаспора).</w:t>
      </w:r>
    </w:p>
    <w:p>
      <w:pPr>
        <w:pStyle w:val="Heading1"/>
        <w:pBdr>
          <w:bottom w:val="single" w:color="B08D3B" w:sz="6" w:space="4"/>
        </w:pBdr>
        <w:spacing w:after="200" w:before="420"/>
      </w:pPr>
      <w:r>
        <w:rPr>
          <w:b/>
          <w:bCs/>
          <w:color w:val="0A111F"/>
          <w:sz w:val="30"/>
          <w:szCs w:val="30"/>
        </w:rPr>
        <w:t xml:space="preserve">6. Валовая маржинальность (Год 1, стационарный режим, обе команды работают)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1900"/>
        <w:gridCol w:w="1900"/>
        <w:gridCol w:w="850"/>
      </w:tblGrid>
      <w:tr>
        <w:trPr>
          <w:tblHeader/>
        </w:trPr>
        <w:tc>
          <w:tcPr>
            <w:tcW w:type="dxa" w:w="2400"/>
            <w:shd w:fill="0A111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Тариф</w:t>
            </w:r>
          </w:p>
        </w:tc>
        <w:tc>
          <w:tcPr>
            <w:tcW w:type="dxa" w:w="2400"/>
            <w:shd w:fill="0A111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Выручка после налога 10%, ֏</w:t>
            </w:r>
          </w:p>
        </w:tc>
        <w:tc>
          <w:tcPr>
            <w:tcW w:type="dxa" w:w="1900"/>
            <w:shd w:fill="0A111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Себестоимость, ֏</w:t>
            </w:r>
          </w:p>
        </w:tc>
        <w:tc>
          <w:tcPr>
            <w:tcW w:type="dxa" w:w="1900"/>
            <w:shd w:fill="0A111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Вал. прибыль, ֏</w:t>
            </w:r>
          </w:p>
        </w:tc>
        <w:tc>
          <w:tcPr>
            <w:tcW w:type="dxa" w:w="850"/>
            <w:shd w:fill="0A111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Маржа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Экспресс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72 000</w:t>
            </w:r>
          </w:p>
        </w:tc>
        <w:tc>
          <w:tcPr>
            <w:tcW w:type="dxa" w:w="1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13 624</w:t>
            </w:r>
          </w:p>
        </w:tc>
        <w:tc>
          <w:tcPr>
            <w:tcW w:type="dxa" w:w="1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58 376</w:t>
            </w:r>
          </w:p>
        </w:tc>
        <w:tc>
          <w:tcPr>
            <w:tcW w:type="dxa" w:w="8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73.0%</w:t>
            </w:r>
          </w:p>
        </w:tc>
      </w:tr>
      <w:tr>
        <w:tc>
          <w:tcPr>
            <w:tcW w:type="dxa" w:w="2400"/>
            <w:shd w:fill="F7F3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Оптимальный</w:t>
            </w:r>
          </w:p>
        </w:tc>
        <w:tc>
          <w:tcPr>
            <w:tcW w:type="dxa" w:w="2400"/>
            <w:shd w:fill="F7F3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162 000</w:t>
            </w:r>
          </w:p>
        </w:tc>
        <w:tc>
          <w:tcPr>
            <w:tcW w:type="dxa" w:w="1900"/>
            <w:shd w:fill="F7F3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42 895</w:t>
            </w:r>
          </w:p>
        </w:tc>
        <w:tc>
          <w:tcPr>
            <w:tcW w:type="dxa" w:w="1900"/>
            <w:shd w:fill="F7F3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119 105</w:t>
            </w:r>
          </w:p>
        </w:tc>
        <w:tc>
          <w:tcPr>
            <w:tcW w:type="dxa" w:w="850"/>
            <w:shd w:fill="F7F3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66.2%</w:t>
            </w:r>
          </w:p>
        </w:tc>
      </w:tr>
      <w:tr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Максимум</w:t>
            </w:r>
          </w:p>
        </w:tc>
        <w:tc>
          <w:tcPr>
            <w:tcW w:type="dxa" w:w="2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216 000</w:t>
            </w:r>
          </w:p>
        </w:tc>
        <w:tc>
          <w:tcPr>
            <w:tcW w:type="dxa" w:w="1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85 790</w:t>
            </w:r>
          </w:p>
        </w:tc>
        <w:tc>
          <w:tcPr>
            <w:tcW w:type="dxa" w:w="1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130 210</w:t>
            </w:r>
          </w:p>
        </w:tc>
        <w:tc>
          <w:tcPr>
            <w:tcW w:type="dxa" w:w="8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54.3%</w:t>
            </w:r>
          </w:p>
        </w:tc>
      </w:tr>
    </w:tbl>
    <w:p>
      <w:pPr>
        <w:pStyle w:val="Heading1"/>
        <w:pBdr>
          <w:bottom w:val="single" w:color="B08D3B" w:sz="6" w:space="4"/>
        </w:pBdr>
        <w:spacing w:after="200" w:before="420"/>
      </w:pPr>
      <w:r>
        <w:rPr>
          <w:b/>
          <w:bCs/>
          <w:color w:val="0A111F"/>
          <w:sz w:val="30"/>
          <w:szCs w:val="30"/>
        </w:rPr>
        <w:t xml:space="preserve">7. Операционная модель</w:t>
      </w:r>
    </w:p>
    <w:p>
      <w:pPr>
        <w:pStyle w:val="Heading2"/>
        <w:spacing w:after="140" w:before="280"/>
      </w:pPr>
      <w:r>
        <w:rPr>
          <w:b/>
          <w:bCs/>
          <w:color w:val="0A111F"/>
          <w:sz w:val="24"/>
          <w:szCs w:val="24"/>
        </w:rPr>
        <w:t xml:space="preserve">7.1 Структура команд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22222"/>
          <w:sz w:val="22"/>
          <w:szCs w:val="22"/>
        </w:rPr>
        <w:t xml:space="preserve">Тяжёлая команда (2 чел.): водитель-рабочий 400 000 ֏/мес + второй рабочий 300 000 ֏/мес. Транспорт — Ford Transit Connect (б/у), $9 000–11 000.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22222"/>
          <w:sz w:val="22"/>
          <w:szCs w:val="22"/>
        </w:rPr>
        <w:t xml:space="preserve">Лёгкая команда (1 чел., мини-визитёр): 450 000 ֏/мес всё включено, работает на личном автомобиле.</w:t>
      </w:r>
    </w:p>
    <w:p>
      <w:pPr>
        <w:pBdr>
          <w:left w:val="single" w:color="B08D3B" w:sz="18" w:space="8"/>
        </w:pBdr>
        <w:shd w:fill="FBF0DA" w:val="clear"/>
        <w:spacing w:after="160" w:line="280"/>
        <w:ind w:left="120"/>
      </w:pPr>
      <w:r>
        <w:rPr>
          <w:i/>
          <w:iCs/>
          <w:color w:val="6B5416"/>
          <w:sz w:val="20"/>
          <w:szCs w:val="20"/>
        </w:rPr>
        <w:t xml:space="preserve">⚠ Ford Transit Connect покупает David Hambardzumyan как физическое лицо и сдаёт компании в аренду — автомобиль не входит в капекс/основные средства компании. Нужен формальный договор аренды по рыночной ставке (сделка между связанным лицом и его же компанией).</w:t>
      </w:r>
    </w:p>
    <w:p>
      <w:pPr>
        <w:pStyle w:val="Heading2"/>
        <w:spacing w:after="140" w:before="280"/>
      </w:pPr>
      <w:r>
        <w:rPr>
          <w:b/>
          <w:bCs/>
          <w:color w:val="0A111F"/>
          <w:sz w:val="24"/>
          <w:szCs w:val="24"/>
        </w:rPr>
        <w:t xml:space="preserve">7.2 Мощность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Тяжёлая команда: 2,5 точки/день (мес. 1–5) → 3,5 точки/день (мес. 6–12). Лёгкая команда: 6,0 точек/день (мес. 1–5) → 8,0 точек/день (мес. 6–12). Рабочий календарь — 26 дней/месяц.</w:t>
      </w:r>
    </w:p>
    <w:p>
      <w:pPr>
        <w:pStyle w:val="Heading2"/>
        <w:spacing w:after="140" w:before="280"/>
      </w:pPr>
      <w:r>
        <w:rPr>
          <w:b/>
          <w:bCs/>
          <w:color w:val="0A111F"/>
          <w:sz w:val="24"/>
          <w:szCs w:val="24"/>
        </w:rPr>
        <w:t xml:space="preserve">7.3 График найма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22222"/>
          <w:sz w:val="22"/>
          <w:szCs w:val="22"/>
        </w:rPr>
        <w:t xml:space="preserve">Месяцы 1–4: работает только тяжёлая команда, самостоятельно закрывает оба типа визитов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22222"/>
          <w:sz w:val="22"/>
          <w:szCs w:val="22"/>
        </w:rPr>
        <w:t xml:space="preserve">Месяц 5: наём лёгкой команды (порог загрузки тяжёлой команды пробивает 90%)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22222"/>
          <w:sz w:val="22"/>
          <w:szCs w:val="22"/>
        </w:rPr>
        <w:t xml:space="preserve">Месяц 11: наём второй тяжёлой команды (загрузка первой ~94.5%)</w:t>
      </w:r>
    </w:p>
    <w:p>
      <w:pPr>
        <w:pStyle w:val="Heading2"/>
        <w:spacing w:after="140" w:before="280"/>
      </w:pPr>
      <w:r>
        <w:rPr>
          <w:b/>
          <w:bCs/>
          <w:color w:val="0A111F"/>
          <w:sz w:val="24"/>
          <w:szCs w:val="24"/>
        </w:rPr>
        <w:t xml:space="preserve">7.4 Накладные расходы (ежемесячно)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22222"/>
          <w:sz w:val="22"/>
          <w:szCs w:val="22"/>
        </w:rPr>
        <w:t xml:space="preserve">Юрист: 200 000 ֏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22222"/>
          <w:sz w:val="22"/>
          <w:szCs w:val="22"/>
        </w:rPr>
        <w:t xml:space="preserve">Маркетинг: 146 000 ֏ (~$400)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22222"/>
          <w:sz w:val="22"/>
          <w:szCs w:val="22"/>
        </w:rPr>
        <w:t xml:space="preserve">Админ/CRM/облако: 54 750 ֏ (~$150)</w:t>
      </w:r>
    </w:p>
    <w:p>
      <w:pPr>
        <w:pStyle w:val="Heading1"/>
        <w:pBdr>
          <w:bottom w:val="single" w:color="B08D3B" w:sz="6" w:space="4"/>
        </w:pBdr>
        <w:spacing w:after="200" w:before="420"/>
      </w:pPr>
      <w:r>
        <w:rPr>
          <w:b/>
          <w:bCs/>
          <w:color w:val="0A111F"/>
          <w:sz w:val="30"/>
          <w:szCs w:val="30"/>
        </w:rPr>
        <w:t xml:space="preserve">8. Маркетинговая стратегия</w:t>
      </w:r>
    </w:p>
    <w:p>
      <w:pPr>
        <w:pStyle w:val="Heading2"/>
        <w:spacing w:after="140" w:before="280"/>
      </w:pPr>
      <w:r>
        <w:rPr>
          <w:b/>
          <w:bCs/>
          <w:color w:val="0A111F"/>
          <w:sz w:val="24"/>
          <w:szCs w:val="24"/>
        </w:rPr>
        <w:t xml:space="preserve">8.1 Цифровой запуск (разово)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Бюджет ~$2 500: домен и хостинг, UI/UX дизайн, вёрстка сайта, контент-съёмка (дрон + камера), мультиязычный копирайтинг (ARM/ENG/RU), SMM-брендинг, интеграция эквайринга/CRM/Telegram-бота.</w:t>
      </w:r>
    </w:p>
    <w:p>
      <w:pPr>
        <w:pStyle w:val="Heading2"/>
        <w:spacing w:after="140" w:before="280"/>
      </w:pPr>
      <w:r>
        <w:rPr>
          <w:b/>
          <w:bCs/>
          <w:color w:val="0A111F"/>
          <w:sz w:val="24"/>
          <w:szCs w:val="24"/>
        </w:rPr>
        <w:t xml:space="preserve">8.2 Ежемесячный маркетинг (~$400)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22222"/>
          <w:sz w:val="22"/>
          <w:szCs w:val="22"/>
        </w:rPr>
        <w:t xml:space="preserve">Meta Ads (Instagram/Facebook), таргет на диаспору США, Франции, РФ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22222"/>
          <w:sz w:val="22"/>
          <w:szCs w:val="22"/>
        </w:rPr>
        <w:t xml:space="preserve">Google Search &amp; Display Ads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22222"/>
          <w:sz w:val="22"/>
          <w:szCs w:val="22"/>
        </w:rPr>
        <w:t xml:space="preserve">Производство SMM-контента и монтаж Reels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22222"/>
          <w:sz w:val="22"/>
          <w:szCs w:val="22"/>
        </w:rPr>
        <w:t xml:space="preserve">Облако для фотоотчётов и CRM-подписки</w:t>
      </w:r>
    </w:p>
    <w:p>
      <w:pPr>
        <w:pStyle w:val="Heading2"/>
        <w:spacing w:after="140" w:before="280"/>
      </w:pPr>
      <w:r>
        <w:rPr>
          <w:b/>
          <w:bCs/>
          <w:color w:val="0A111F"/>
          <w:sz w:val="24"/>
          <w:szCs w:val="24"/>
        </w:rPr>
        <w:t xml:space="preserve">8.3 Каналы диаспоры</w:t>
      </w:r>
    </w:p>
    <w:p>
      <w:pPr>
        <w:pBdr>
          <w:left w:val="single" w:color="B08D3B" w:sz="18" w:space="8"/>
        </w:pBdr>
        <w:shd w:fill="FBF0DA" w:val="clear"/>
        <w:spacing w:after="160" w:line="280"/>
        <w:ind w:left="120"/>
      </w:pPr>
      <w:r>
        <w:rPr>
          <w:i/>
          <w:iCs/>
          <w:color w:val="6B5416"/>
          <w:sz w:val="20"/>
          <w:szCs w:val="20"/>
        </w:rPr>
        <w:t xml:space="preserve">⚠ Проработка партнёрских каналов (армянские церкви, диаспоральные организации типа AGBU) заявлена как приоритет, но конкретные контакты и договорённости пока не установлены — открытая задача.</w:t>
      </w:r>
    </w:p>
    <w:p>
      <w:pPr>
        <w:pStyle w:val="Heading1"/>
        <w:pBdr>
          <w:bottom w:val="single" w:color="B08D3B" w:sz="6" w:space="4"/>
        </w:pBdr>
        <w:spacing w:after="200" w:before="420"/>
      </w:pPr>
      <w:r>
        <w:rPr>
          <w:b/>
          <w:bCs/>
          <w:color w:val="0A111F"/>
          <w:sz w:val="30"/>
          <w:szCs w:val="30"/>
        </w:rPr>
        <w:t xml:space="preserve">9. Финансовый план и запрос финансирования</w:t>
      </w:r>
    </w:p>
    <w:p>
      <w:pPr>
        <w:pStyle w:val="Heading2"/>
        <w:spacing w:after="140" w:before="280"/>
      </w:pPr>
      <w:r>
        <w:rPr>
          <w:b/>
          <w:bCs/>
          <w:color w:val="0A111F"/>
          <w:sz w:val="24"/>
          <w:szCs w:val="24"/>
        </w:rPr>
        <w:t xml:space="preserve">9.1 Клиентские сценарии, конец Года 1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50"/>
      </w:tblGrid>
      <w:tr>
        <w:trPr>
          <w:tblHeader/>
        </w:trPr>
        <w:tc>
          <w:tcPr>
            <w:tcW w:type="dxa" w:w="2800"/>
            <w:shd w:fill="0A111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Сценарий</w:t>
            </w:r>
          </w:p>
        </w:tc>
        <w:tc>
          <w:tcPr>
            <w:tcW w:type="dxa" w:w="3200"/>
            <w:shd w:fill="0A111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Клиентов к концу Года 1</w:t>
            </w:r>
          </w:p>
        </w:tc>
        <w:tc>
          <w:tcPr>
            <w:tcW w:type="dxa" w:w="3350"/>
            <w:shd w:fill="0A111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Выручка (после налога), $</w:t>
            </w:r>
          </w:p>
        </w:tc>
      </w:tr>
      <w:tr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Худший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160</w:t>
            </w:r>
          </w:p>
        </w:tc>
        <w:tc>
          <w:tcPr>
            <w:tcW w:type="dxa" w:w="33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≈72 200</w:t>
            </w:r>
          </w:p>
        </w:tc>
      </w:tr>
      <w:tr>
        <w:tc>
          <w:tcPr>
            <w:tcW w:type="dxa" w:w="2800"/>
            <w:shd w:fill="F7F3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Нормальный</w:t>
            </w:r>
          </w:p>
        </w:tc>
        <w:tc>
          <w:tcPr>
            <w:tcW w:type="dxa" w:w="3200"/>
            <w:shd w:fill="F7F3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220</w:t>
            </w:r>
          </w:p>
        </w:tc>
        <w:tc>
          <w:tcPr>
            <w:tcW w:type="dxa" w:w="3350"/>
            <w:shd w:fill="F7F3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≈99 300</w:t>
            </w:r>
          </w:p>
        </w:tc>
      </w:tr>
      <w:tr>
        <w:tc>
          <w:tcPr>
            <w:tcW w:type="dxa" w:w="2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Позитивный</w:t>
            </w:r>
          </w:p>
        </w:tc>
        <w:tc>
          <w:tcPr>
            <w:tcW w:type="dxa" w:w="32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300</w:t>
            </w:r>
          </w:p>
        </w:tc>
        <w:tc>
          <w:tcPr>
            <w:tcW w:type="dxa" w:w="33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≈135 400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0A111F"/>
          <w:sz w:val="24"/>
          <w:szCs w:val="24"/>
        </w:rPr>
        <w:t xml:space="preserve">9.2 Запрос финансирования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David Hambardzumyan готов предоставить компании до $50 000–60 000 при необходимости в форме займа (не взнос в капитал) — заём подлежит возврату компанией David по мере выхода на устойчивый денежный поток. Средства покрывают: цифровой запуск сайта (~$2 500) и операционный буфер до точки безубыточности (зарплаты команд, накладные, покрытие кассовых разрывов на старте, наём второй тяжёлой команды к Месяцу 11). Транспорт (Ford Transit Connect) не входит в этот запрос — его отдельно покупает David как физлицо и сдаёт в аренду компании (см. раздел 7.1).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В Год 1 основатели не получают ни зарплату, ни дивиденды — вся выручка реинвестируется в операционку и возврат займа.</w:t>
      </w:r>
    </w:p>
    <w:p>
      <w:pPr>
        <w:pBdr>
          <w:left w:val="single" w:color="B08D3B" w:sz="18" w:space="8"/>
        </w:pBdr>
        <w:shd w:fill="FBF0DA" w:val="clear"/>
        <w:spacing w:after="160" w:line="280"/>
        <w:ind w:left="120"/>
      </w:pPr>
      <w:r>
        <w:rPr>
          <w:i/>
          <w:iCs/>
          <w:color w:val="6B5416"/>
          <w:sz w:val="20"/>
          <w:szCs w:val="20"/>
        </w:rPr>
        <w:t xml:space="preserve">⚠ Точная финальная сумма ask и помесячный график освоения средств уточняются — в модели обнаружена и исправляется техническая нестыковка (расчёт денежного потока без учёта 10% налога с оборота в одном из листов). До завершения сверки итоговую сумму стоит считать верхней границей ($50–60К), а не точным расчётным числом.</w:t>
      </w:r>
    </w:p>
    <w:p>
      <w:pPr>
        <w:pStyle w:val="Heading1"/>
        <w:pBdr>
          <w:bottom w:val="single" w:color="B08D3B" w:sz="6" w:space="4"/>
        </w:pBdr>
        <w:spacing w:after="200" w:before="420"/>
      </w:pPr>
      <w:r>
        <w:rPr>
          <w:b/>
          <w:bCs/>
          <w:color w:val="0A111F"/>
          <w:sz w:val="30"/>
          <w:szCs w:val="30"/>
        </w:rPr>
        <w:t xml:space="preserve">10. Структура собственности и команда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1900"/>
        <w:gridCol w:w="2250"/>
      </w:tblGrid>
      <w:tr>
        <w:trPr>
          <w:tblHeader/>
        </w:trPr>
        <w:tc>
          <w:tcPr>
            <w:tcW w:type="dxa" w:w="2600"/>
            <w:shd w:fill="0A111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Участник</w:t>
            </w:r>
          </w:p>
        </w:tc>
        <w:tc>
          <w:tcPr>
            <w:tcW w:type="dxa" w:w="2600"/>
            <w:shd w:fill="0A111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Роль</w:t>
            </w:r>
          </w:p>
        </w:tc>
        <w:tc>
          <w:tcPr>
            <w:tcW w:type="dxa" w:w="1900"/>
            <w:shd w:fill="0A111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Юридическая доля</w:t>
            </w:r>
          </w:p>
        </w:tc>
        <w:tc>
          <w:tcPr>
            <w:tcW w:type="dxa" w:w="2250"/>
            <w:shd w:fill="0A111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Фактическая договорённость</w:t>
            </w:r>
          </w:p>
        </w:tc>
      </w:tr>
      <w:tr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David Hambardzumyan</w:t>
            </w:r>
          </w:p>
        </w:tc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Инвестор и основатель</w:t>
            </w:r>
          </w:p>
        </w:tc>
        <w:tc>
          <w:tcPr>
            <w:tcW w:type="dxa" w:w="19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100%</w:t>
            </w:r>
          </w:p>
        </w:tc>
        <w:tc>
          <w:tcPr>
            <w:tcW w:type="dxa" w:w="22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70% (позже юридически передаст 30% Hayk)</w:t>
            </w:r>
          </w:p>
        </w:tc>
      </w:tr>
      <w:tr>
        <w:tc>
          <w:tcPr>
            <w:tcW w:type="dxa" w:w="2600"/>
            <w:shd w:fill="F7F3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Hayk Manukyan</w:t>
            </w:r>
          </w:p>
        </w:tc>
        <w:tc>
          <w:tcPr>
            <w:tcW w:type="dxa" w:w="2600"/>
            <w:shd w:fill="F7F3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Сооснователь, BizDev</w:t>
            </w:r>
          </w:p>
        </w:tc>
        <w:tc>
          <w:tcPr>
            <w:tcW w:type="dxa" w:w="1900"/>
            <w:shd w:fill="F7F3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0% (пока)</w:t>
            </w:r>
          </w:p>
        </w:tc>
        <w:tc>
          <w:tcPr>
            <w:tcW w:type="dxa" w:w="2250"/>
            <w:shd w:fill="F7F3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30% — экономически принадлежат уже сейчас, по личной договорённости</w:t>
            </w:r>
          </w:p>
        </w:tc>
      </w:tr>
    </w:tbl>
    <w:p>
      <w:pPr>
        <w:spacing w:after="160" w:line="300"/>
      </w:pPr>
      <w:r>
        <w:rPr>
          <w:color w:val="222222"/>
          <w:sz w:val="20"/>
          <w:szCs w:val="20"/>
        </w:rPr>
        <w:t xml:space="preserve">Юрист (привлечённый): Hayk Hayrapetyan, 200 000 ֏/мес.</w:t>
      </w:r>
    </w:p>
    <w:p>
      <w:pPr>
        <w:pBdr>
          <w:left w:val="single" w:color="B08D3B" w:sz="18" w:space="8"/>
        </w:pBdr>
        <w:shd w:fill="FBF0DA" w:val="clear"/>
        <w:spacing w:after="160" w:line="280"/>
        <w:ind w:left="120"/>
      </w:pPr>
      <w:r>
        <w:rPr>
          <w:i/>
          <w:iCs/>
          <w:color w:val="6B5416"/>
          <w:sz w:val="20"/>
          <w:szCs w:val="20"/>
        </w:rPr>
        <w:t xml:space="preserve">⚠ 30% доли Hayk на сегодня закреплены только устной договорённостью между партнёрами (компания зарегистрирована 100% на David — временно, до решения банковских вопросов Hayk). Формального письменного соглашения, фиксирующего эту договорённость, пока нет. Учредители сознательно принимают этот риск на основе личного доверия.</w:t>
      </w:r>
    </w:p>
    <w:p>
      <w:pPr>
        <w:pStyle w:val="Heading1"/>
        <w:pBdr>
          <w:bottom w:val="single" w:color="B08D3B" w:sz="6" w:space="4"/>
        </w:pBdr>
        <w:spacing w:after="200" w:before="420"/>
      </w:pPr>
      <w:r>
        <w:rPr>
          <w:b/>
          <w:bCs/>
          <w:color w:val="0A111F"/>
          <w:sz w:val="30"/>
          <w:szCs w:val="30"/>
        </w:rPr>
        <w:t xml:space="preserve">11. Риски и митигация</w:t>
      </w:r>
    </w:p>
    <w:p>
      <w:pPr>
        <w:spacing w:after="160" w:line="300"/>
      </w:pPr>
      <w:r>
        <w:rPr>
          <w:i/>
          <w:iCs/>
          <w:color w:val="222222"/>
          <w:sz w:val="22"/>
          <w:szCs w:val="22"/>
        </w:rPr>
        <w:t xml:space="preserve">Риски перечислены в порядке приоритета, определённого основателями: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800"/>
        <w:gridCol w:w="5050"/>
      </w:tblGrid>
      <w:tr>
        <w:trPr>
          <w:tblHeader/>
        </w:trPr>
        <w:tc>
          <w:tcPr>
            <w:tcW w:type="dxa" w:w="500"/>
            <w:shd w:fill="0A111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800"/>
            <w:shd w:fill="0A111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Риск</w:t>
            </w:r>
          </w:p>
        </w:tc>
        <w:tc>
          <w:tcPr>
            <w:tcW w:type="dxa" w:w="5050"/>
            <w:shd w:fill="0A111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Митигация</w:t>
            </w:r>
          </w:p>
        </w:tc>
      </w:tr>
      <w:tr>
        <w:tc>
          <w:tcPr>
            <w:tcW w:type="dxa" w:w="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3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Юридический — разрешения кладбища/муниципалитета</w:t>
            </w:r>
          </w:p>
        </w:tc>
        <w:tc>
          <w:tcPr>
            <w:tcW w:type="dxa" w:w="50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Рабочая гипотеза основателей: письменное согласие семьи-клиента на онбординге закрывает вопрос доступа к конкретному участку. ⚠ Общие правила кладбища/муниципалитета (проезд, спецтехника, время работ, вывоз мусора) могут регулироваться отдельно от согласия семьи — переговоры с кладбищем/муниципалитетом не начаты, юристу нужно явно разграничить эти два уровня, а не считать вопрос закрытым</w:t>
            </w:r>
          </w:p>
        </w:tc>
      </w:tr>
      <w:tr>
        <w:tc>
          <w:tcPr>
            <w:tcW w:type="dxa" w:w="500"/>
            <w:shd w:fill="F7F3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3800"/>
            <w:shd w:fill="F7F3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Вандализм/порча памятника во время визита</w:t>
            </w:r>
          </w:p>
        </w:tc>
        <w:tc>
          <w:tcPr>
            <w:tcW w:type="dxa" w:w="5050"/>
            <w:shd w:fill="F7F3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Фото/видео до и после визита как защита от необоснованных претензий; рассмотреть страхование ответственности</w:t>
            </w:r>
          </w:p>
        </w:tc>
      </w:tr>
      <w:tr>
        <w:tc>
          <w:tcPr>
            <w:tcW w:type="dxa" w:w="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3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Зависимость от 1–2 ключевых сотрудников</w:t>
            </w:r>
          </w:p>
        </w:tc>
        <w:tc>
          <w:tcPr>
            <w:tcW w:type="dxa" w:w="50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Формализовать процессы и обучение, чтобы замена сотрудника не останавливала операционку</w:t>
            </w:r>
          </w:p>
        </w:tc>
      </w:tr>
      <w:tr>
        <w:tc>
          <w:tcPr>
            <w:tcW w:type="dxa" w:w="500"/>
            <w:shd w:fill="F7F3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3800"/>
            <w:shd w:fill="F7F3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Сезонность (зима — меньше видимой работы)</w:t>
            </w:r>
          </w:p>
        </w:tc>
        <w:tc>
          <w:tcPr>
            <w:tcW w:type="dxa" w:w="5050"/>
            <w:shd w:fill="F7F3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Смещать акцент на профилактические/лёгкие визиты и цифровой продукт (QR-страницы) в зимний период</w:t>
            </w:r>
          </w:p>
        </w:tc>
      </w:tr>
      <w:tr>
        <w:tc>
          <w:tcPr>
            <w:tcW w:type="dxa" w:w="5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38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Нестабильность курса AMD/USD</w:t>
            </w:r>
          </w:p>
        </w:tc>
        <w:tc>
          <w:tcPr>
            <w:tcW w:type="dxa" w:w="50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Цены зафиксированы в AMD; валютный калькулятор на сайте — справочный, не расчётный</w:t>
            </w:r>
          </w:p>
        </w:tc>
      </w:tr>
      <w:tr>
        <w:tc>
          <w:tcPr>
            <w:tcW w:type="dxa" w:w="500"/>
            <w:shd w:fill="F7F3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3800"/>
            <w:shd w:fill="F7F3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Репутационный риск при одном плохом отчёте</w:t>
            </w:r>
          </w:p>
        </w:tc>
        <w:tc>
          <w:tcPr>
            <w:tcW w:type="dxa" w:w="5050"/>
            <w:shd w:fill="F7F3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Прозрачная фотоотчётность снижает риск, но нужен чёткий протокол реагирования на жалобы</w:t>
            </w:r>
          </w:p>
        </w:tc>
      </w:tr>
    </w:tbl>
    <w:p>
      <w:pPr>
        <w:pStyle w:val="Heading1"/>
        <w:pBdr>
          <w:bottom w:val="single" w:color="B08D3B" w:sz="6" w:space="4"/>
        </w:pBdr>
        <w:spacing w:after="200" w:before="420"/>
      </w:pPr>
      <w:r>
        <w:rPr>
          <w:b/>
          <w:bCs/>
          <w:color w:val="0A111F"/>
          <w:sz w:val="30"/>
          <w:szCs w:val="30"/>
        </w:rPr>
        <w:t xml:space="preserve">12. Дорожная карта</w:t>
      </w:r>
    </w:p>
    <w:p>
      <w:pPr>
        <w:spacing w:after="160" w:line="300"/>
      </w:pPr>
      <w:r>
        <w:rPr>
          <w:i/>
          <w:iCs/>
          <w:color w:val="222222"/>
          <w:sz w:val="22"/>
          <w:szCs w:val="22"/>
        </w:rPr>
        <w:t xml:space="preserve">Ориентиры от 1 августа 2026 (даты примерные, не финализированы контрактами):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600"/>
        <w:gridCol w:w="3350"/>
      </w:tblGrid>
      <w:tr>
        <w:trPr>
          <w:tblHeader/>
        </w:trPr>
        <w:tc>
          <w:tcPr>
            <w:tcW w:type="dxa" w:w="3400"/>
            <w:shd w:fill="0A111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Веха</w:t>
            </w:r>
          </w:p>
        </w:tc>
        <w:tc>
          <w:tcPr>
            <w:tcW w:type="dxa" w:w="2600"/>
            <w:shd w:fill="0A111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Срок</w:t>
            </w:r>
          </w:p>
        </w:tc>
        <w:tc>
          <w:tcPr>
            <w:tcW w:type="dxa" w:w="3350"/>
            <w:shd w:fill="0A111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Ориентировочная дата</w:t>
            </w:r>
          </w:p>
        </w:tc>
      </w:tr>
      <w:tr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Дизайн сайта</w:t>
            </w:r>
          </w:p>
        </w:tc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~10 дней</w:t>
            </w:r>
          </w:p>
        </w:tc>
        <w:tc>
          <w:tcPr>
            <w:tcW w:type="dxa" w:w="33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к 11 августа 2026</w:t>
            </w:r>
          </w:p>
        </w:tc>
      </w:tr>
      <w:tr>
        <w:tc>
          <w:tcPr>
            <w:tcW w:type="dxa" w:w="3400"/>
            <w:shd w:fill="F7F3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Рекрутинг команд</w:t>
            </w:r>
          </w:p>
        </w:tc>
        <w:tc>
          <w:tcPr>
            <w:tcW w:type="dxa" w:w="2600"/>
            <w:shd w:fill="F7F3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со следующей недели</w:t>
            </w:r>
          </w:p>
        </w:tc>
        <w:tc>
          <w:tcPr>
            <w:tcW w:type="dxa" w:w="3350"/>
            <w:shd w:fill="F7F3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с ~8 августа 2026</w:t>
            </w:r>
          </w:p>
        </w:tc>
      </w:tr>
      <w:tr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Инструменты и оборудование</w:t>
            </w:r>
          </w:p>
        </w:tc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~2 недели</w:t>
            </w:r>
          </w:p>
        </w:tc>
        <w:tc>
          <w:tcPr>
            <w:tcW w:type="dxa" w:w="33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к 15 августа 2026</w:t>
            </w:r>
          </w:p>
        </w:tc>
      </w:tr>
      <w:tr>
        <w:tc>
          <w:tcPr>
            <w:tcW w:type="dxa" w:w="3400"/>
            <w:shd w:fill="F7F3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Транспорт + первый экипаж</w:t>
            </w:r>
          </w:p>
        </w:tc>
        <w:tc>
          <w:tcPr>
            <w:tcW w:type="dxa" w:w="2600"/>
            <w:shd w:fill="F7F3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~1 месяц</w:t>
            </w:r>
          </w:p>
        </w:tc>
        <w:tc>
          <w:tcPr>
            <w:tcW w:type="dxa" w:w="3350"/>
            <w:shd w:fill="F7F3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к началу сентября 2026</w:t>
            </w:r>
          </w:p>
        </w:tc>
      </w:tr>
      <w:tr>
        <w:tc>
          <w:tcPr>
            <w:tcW w:type="dxa" w:w="34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5–10 пилотных визитов</w:t>
            </w:r>
          </w:p>
        </w:tc>
        <w:tc>
          <w:tcPr>
            <w:tcW w:type="dxa" w:w="260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в течение месяца</w:t>
            </w:r>
          </w:p>
        </w:tc>
        <w:tc>
          <w:tcPr>
            <w:tcW w:type="dxa" w:w="3350"/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к началу сентября 2026</w:t>
            </w:r>
          </w:p>
        </w:tc>
      </w:tr>
      <w:tr>
        <w:tc>
          <w:tcPr>
            <w:tcW w:type="dxa" w:w="3400"/>
            <w:shd w:fill="F7F3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Запуск сайта (полный цикл, 45 дней)</w:t>
            </w:r>
          </w:p>
        </w:tc>
        <w:tc>
          <w:tcPr>
            <w:tcW w:type="dxa" w:w="2600"/>
            <w:shd w:fill="F7F3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45 дней</w:t>
            </w:r>
          </w:p>
        </w:tc>
        <w:tc>
          <w:tcPr>
            <w:tcW w:type="dxa" w:w="3350"/>
            <w:shd w:fill="F7F3E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к 15 сентября 2026</w:t>
            </w:r>
          </w:p>
        </w:tc>
      </w:tr>
    </w:tbl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22222"/>
          <w:sz w:val="22"/>
          <w:szCs w:val="22"/>
        </w:rPr>
        <w:t xml:space="preserve">Полноценный старт продаж: TBD — ориентировочно после завершения пилота и запуска сайта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22222"/>
          <w:sz w:val="22"/>
          <w:szCs w:val="22"/>
        </w:rPr>
        <w:t xml:space="preserve">Второй город (экспансия): TBD — часть видения на 3–5 лет, конкретных сроков пока нет</w:t>
      </w:r>
    </w:p>
    <w:p>
      <w:pPr>
        <w:pStyle w:val="Heading1"/>
        <w:pBdr>
          <w:bottom w:val="single" w:color="B08D3B" w:sz="6" w:space="4"/>
        </w:pBdr>
        <w:spacing w:after="200" w:before="420"/>
      </w:pPr>
      <w:r>
        <w:rPr>
          <w:b/>
          <w:bCs/>
          <w:color w:val="0A111F"/>
          <w:sz w:val="30"/>
          <w:szCs w:val="30"/>
        </w:rPr>
        <w:t xml:space="preserve">13. Долгосрочное видение (3–5 лет)</w:t>
      </w:r>
    </w:p>
    <w:p>
      <w:pPr>
        <w:spacing w:after="160" w:line="300"/>
      </w:pPr>
      <w:r>
        <w:rPr>
          <w:color w:val="222222"/>
          <w:sz w:val="22"/>
          <w:szCs w:val="22"/>
        </w:rPr>
        <w:t xml:space="preserve">Стратегический приоритет — географическая экспансия в другие города Армении (а не за рубеж), с постепенным воспроизведением операционной модели (тяжёлая + лёгкая команда, локальный найм) на новых кладбищах. Целевой охват — порядка 10 000 семей диаспоры к концу горизонта планирования, при сохранении премиального позиционирования и высокой валовой маржинальности (54–73% по тарифам).</w:t>
      </w:r>
    </w:p>
    <w:p>
      <w:r>
        <w:br w:type="page"/>
      </w:r>
    </w:p>
    <w:p>
      <w:pPr>
        <w:pStyle w:val="Heading1"/>
        <w:pBdr>
          <w:bottom w:val="single" w:color="B08D3B" w:sz="6" w:space="4"/>
        </w:pBdr>
        <w:spacing w:after="200" w:before="420"/>
      </w:pPr>
      <w:r>
        <w:rPr>
          <w:b/>
          <w:bCs/>
          <w:color w:val="0A111F"/>
          <w:sz w:val="30"/>
          <w:szCs w:val="30"/>
        </w:rPr>
        <w:t xml:space="preserve">Приложение: открытые вопросы, требующие решения</w:t>
      </w:r>
    </w:p>
    <w:p>
      <w:pPr>
        <w:spacing w:after="160" w:line="300"/>
      </w:pPr>
      <w:r>
        <w:rPr>
          <w:i/>
          <w:iCs/>
          <w:color w:val="222222"/>
          <w:sz w:val="22"/>
          <w:szCs w:val="22"/>
        </w:rPr>
        <w:t xml:space="preserve">Список пунктов, помеченных ⚠ по всему документу, для быстрой сверки: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22222"/>
          <w:sz w:val="22"/>
          <w:szCs w:val="22"/>
        </w:rPr>
        <w:t xml:space="preserve">Налоговый режим 10% с оборота — решает бухгалтер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22222"/>
          <w:sz w:val="22"/>
          <w:szCs w:val="22"/>
        </w:rPr>
        <w:t xml:space="preserve">Техническая нестыковка в фин. модели (налог не вычтен в одном из листов) — в процессе исправления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22222"/>
          <w:sz w:val="22"/>
          <w:szCs w:val="22"/>
        </w:rPr>
        <w:t xml:space="preserve">Интервью проведены только с локальной аудиторией из личного круга основателей — диаспора и независимая аудитория ещё не опрошены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22222"/>
          <w:sz w:val="22"/>
          <w:szCs w:val="22"/>
        </w:rPr>
        <w:t xml:space="preserve">Структурированный анализ конкретных конкурентов (цены, объёмы) — не проведён, есть только общее наблюдение рынка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22222"/>
          <w:sz w:val="22"/>
          <w:szCs w:val="22"/>
        </w:rPr>
        <w:t xml:space="preserve">Партнёрства с диаспоральными организациями (церкви, AGBU) — не установлены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22222"/>
          <w:sz w:val="22"/>
          <w:szCs w:val="22"/>
        </w:rPr>
        <w:t xml:space="preserve">Полноценный старт продаж и второй город — точные даты пока не определены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22222"/>
          <w:sz w:val="22"/>
          <w:szCs w:val="22"/>
        </w:rPr>
        <w:t xml:space="preserve">Переговоры с кладбищем/муниципалитетом по общим правилам работы — не начаты; юристу нужно разграничить это от согласия семьи-клиента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22222"/>
          <w:sz w:val="22"/>
          <w:szCs w:val="22"/>
        </w:rPr>
        <w:t xml:space="preserve">Договор аренды Ford Transit Connect (David → компания) — нужен формальный договор по рыночной ставке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22222"/>
          <w:sz w:val="22"/>
          <w:szCs w:val="22"/>
        </w:rPr>
        <w:t xml:space="preserve">Письменное соглашение о фактической доле Hayk (30%) — пока только устная договорённость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color w:val="222222"/>
          <w:sz w:val="22"/>
          <w:szCs w:val="22"/>
        </w:rPr>
        <w:t xml:space="preserve">Налоговый/регистрационный номер компании — уточняется у юриста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2026-07-31T22:07:53.688Z</dcterms:created>
  <dcterms:modified xsi:type="dcterms:W3CDTF">2026-07-31T22:07:53.702Z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