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MONTEC</w:t>
      </w:r>
    </w:p>
    <w:p>
      <w:pPr>
        <w:pStyle w:val="Heading1"/>
      </w:pPr>
      <w:r>
        <w:t>Business Plan — Quiet-Luxury Leather Accessories for the Armenian Professional</w:t>
      </w:r>
    </w:p>
    <w:p>
      <w:r>
        <w:rPr>
          <w:b w:val="0"/>
          <w:i/>
        </w:rPr>
        <w:t>Confidential — Prepared August 2026 · Rebuilt 2026-08-02 (13-SKU/AMD edition, team structure and corporate-deal status corrected)</w:t>
      </w:r>
    </w:p>
    <w:p>
      <w:pPr>
        <w:pStyle w:val="Heading1"/>
      </w:pPr>
      <w:r>
        <w:t>1. Executive Summary</w:t>
      </w:r>
    </w:p>
    <w:p>
      <w:r>
        <w:rPr>
          <w:b w:val="0"/>
          <w:i w:val="0"/>
        </w:rPr>
        <w:t>Montec is a quiet-luxury leather accessories house built for people who move capital, close deals, and sign the documents that matter — founders, financiers, lawyers and executives in Armenia and across the global Armenian diaspora. The brand takes the proven playbook of Von Baer, the direct-to-consumer Italian-leather label now selling into more than seventy countries, and localizes it for a market that has never had a credible domestic luxury leather brand of its own.</w:t>
      </w:r>
    </w:p>
    <w:p>
      <w:r>
        <w:rPr>
          <w:b w:val="0"/>
          <w:i w:val="0"/>
        </w:rPr>
        <w:t>The strategic insight is simple. Von Baer sells full-grain, vegetable-tanned Italian leather briefcases for USD 1,600–2,000 by cutting out retail middlemen and selling a story of heritage and permanence directly to professionals. Montec sources the same class of material — full-grain vegetable-tanned Italian calfskin and solid brass hardware — but produces in Armenia at a fraction of Western European labor cost, and reaches its audience through channels that no international brand can replicate: personal relationships inside Yerevan's business community and the tightly-networked, high-net-worth Armenian diaspora in Los Angeles, Moscow and beyond.</w:t>
      </w:r>
    </w:p>
    <w:p>
      <w:r>
        <w:rPr>
          <w:b w:val="0"/>
          <w:i w:val="0"/>
        </w:rPr>
        <w:t>Montec does not compete on being cheaper. It competes on being the object an Armenian executive is proud to carry and prouder still to give. The brand is deliberately scarce — sold by application, in numbered batches, with no discounts, ever — and it is anchored commercially by corporate gifting, where a single relationship can move hundreds of personalized units in one order.</w:t>
      </w:r>
    </w:p>
    <w:p>
      <w:r>
        <w:rPr>
          <w:b w:val="0"/>
          <w:i w:val="0"/>
        </w:rPr>
        <w:t>Montec's parent company is FiCorp (owners Ararat and Taron). The founder — who drives the brand, the business relationships, and the launch capital — operates alongside two master craftsmen: Artem, and Levon, based in Kapan, who is becoming the primary maker. Craftsmen are paid per order rather than a fixed salary, which is what keeps the launch asset-light. The business launches on USD 5,000 of dedicated capital, leaning on infrastructure already operated through the Montec and Bagrat's Bags leather workshops (Bagrat's Bags is FiCorp's separate budget-tier brand — the two share physical workshop infrastructure only; Montec's brand, pricing, and product decisions stay entirely separate from it). That capital is sufficient because the model is asset-light: materials are purchased against confirmed demand, and craftsmen labor is a variable cost, not a fixed one. A first corporate gifting relationship (with an Armenian insurer) already exists and validates the model, though it is currently paused pending internal restructuring on their side — see Section 6. On conservative assumptions the direct-to-consumer business alone reaches profitability inside its first year, and compounds further once the corporate channel resumes.</w:t>
      </w:r>
    </w:p>
    <w:p>
      <w:r>
        <w:rPr>
          <w:b w:val="0"/>
          <w:i w:val="0"/>
        </w:rPr>
        <w:t>This plan lays out the market, the competitive logic, the product architecture, the operating model, the risks, and a financial picture. It is a companion to the Montec Financial Model, the Go-to-Market Strategy, the Brand Book, and the Content Strategy, which together form the full launch package.</w:t>
      </w:r>
    </w:p>
    <w:p>
      <w:pPr>
        <w:pStyle w:val="Heading1"/>
      </w:pPr>
      <w:r>
        <w:t>2. The Opportunity</w:t>
      </w:r>
    </w:p>
    <w:p>
      <w:pPr>
        <w:pStyle w:val="Heading2"/>
      </w:pPr>
      <w:r>
        <w:t>2.1 A market with money and no mirror</w:t>
      </w:r>
    </w:p>
    <w:p>
      <w:r>
        <w:rPr>
          <w:b w:val="0"/>
          <w:i w:val="0"/>
        </w:rPr>
        <w:t>Armenia's economy has grown quickly in the post-2020 period, driven by an influx of technology firms, relocated finance professionals, and a maturing services sector concentrated in Yerevan. This has produced a visible and growing class of affluent professionals — startup founders, bank and fund executives, senior lawyers, real-estate developers — who dress the part, travel internationally, and spend on watches, cars and fashion. What they cannot currently buy is a domestic luxury accessory brand that reflects who they are. When an Armenian executive wants a serious briefcase or a gift worthy of a partner, the only options are imported European houses bought abroad or online, carrying full retail markups and none of the meaning of something made at home.</w:t>
      </w:r>
    </w:p>
    <w:p>
      <w:r>
        <w:rPr>
          <w:b w:val="0"/>
          <w:i w:val="0"/>
        </w:rPr>
        <w:t>Montec fills that gap. It is positioned not as "affordable luxury" but as earned luxury — quiet, unbranded to the outside eye, recognizable only to those who know. This is the "old money" code: no loud logos, no seasonal churn, materials and construction that reveal themselves only on close inspection and improve with age.</w:t>
      </w:r>
    </w:p>
    <w:p>
      <w:pPr>
        <w:pStyle w:val="Heading2"/>
      </w:pPr>
      <w:r>
        <w:t>2.2 The diaspora multiplier</w:t>
      </w:r>
    </w:p>
    <w:p>
      <w:r>
        <w:rPr>
          <w:b w:val="0"/>
          <w:i w:val="0"/>
        </w:rPr>
        <w:t>Armenia's roughly three million residents are matched by a diaspora estimated at seven to eleven million worldwide, with large, prosperous communities in the United States — particularly greater Los Angeles — as well as Russia and France. This diaspora is unusually connected, philanthropically organized through networks such as AGBU, and emotionally invested in supporting Armenian enterprise. For a brand built on heritage and permanence, the diaspora is not a secondary market; it is a founding one. A wallet made in Yerevan and carried in Glendale is a statement of identity, not merely a purchase. Montec's addressable market is therefore the intersection of two audiences — resident Armenian professionals and affluent diaspora Armenians — reachable through overlapping community and digital channels.</w:t>
      </w:r>
    </w:p>
    <w:p>
      <w:pPr>
        <w:pStyle w:val="Heading2"/>
      </w:pPr>
      <w:r>
        <w:t>2.3 Timing</w:t>
      </w:r>
    </w:p>
    <w:p>
      <w:r>
        <w:rPr>
          <w:b w:val="0"/>
          <w:i w:val="0"/>
        </w:rPr>
        <w:t>Three forces make this the right moment. First, direct-to-consumer luxury has been de-risked globally; Von Baer and its peers have proven that professionals will buy USD 1,500+ leather goods online from a brand they have never physically touched, provided the story and the reviews are credible. Second, Armenia's professional class has reached the density needed to sustain a domestic luxury label. Third, the tools that once required a marketing department — cinematic content, application-based commerce, community distribution — are now operable by a small founder-led team, which is exactly what keeps the launch capital requirement at USD 5,000 rather than USD 500,000.</w:t>
      </w:r>
    </w:p>
    <w:p>
      <w:pPr>
        <w:pStyle w:val="Heading1"/>
      </w:pPr>
      <w:r>
        <w:t>3. Competitive Analysis</w:t>
      </w:r>
    </w:p>
    <w:p>
      <w:pPr>
        <w:pStyle w:val="Heading2"/>
      </w:pPr>
      <w:r>
        <w:t>3.1 The reference brand: Von Baer</w:t>
      </w:r>
    </w:p>
    <w:p>
      <w:r>
        <w:rPr>
          <w:b w:val="0"/>
          <w:i w:val="0"/>
        </w:rPr>
        <w:t>Von Baer is the clearest template for what Montec intends to build. Founded in Tallinn, Estonia in 2015 by Albert Varkki and Igor Monte (previously Igor Syunin — the surname italianization coincided with the brand's pivot to an invented "Italian heritage since 1961" story), Von Baer is in fact a 5-person company doing an estimated €1.86M in 2026 revenue, built less on production or design than on a ~600-URL programmatic SEO engine and a deliberately constructed legend (see the full Von Baer deep-research document for the complete breakdown). Its positioning rests on four pillars: authentic Italian craftsmanship and heritage; a direct-to-consumer model that cuts out middlemen; honest pricing with no fake discounts; and quiet, timeless design meant for lifetime use rather than trend cycles. It reinforces this with a five-year warranty, monogramming, a strong Trustpilot rating, and press placements in Forbes, GQ, Vogue and The Washington Post (though those placements are mostly unrelated HARO-style quote insertions rather than real coverage — a real vulnerability for a C-suite buyer who checks). Hero products sit at roughly USD 1,595–1,995, a price point reached via a ~5x increase over about 8 years from an original ~€299 flagship — the product changed less than the price.</w:t>
      </w:r>
    </w:p>
    <w:p>
      <w:r>
        <w:rPr>
          <w:b w:val="0"/>
          <w:i w:val="0"/>
        </w:rPr>
        <w:t>The lesson is that the moat is not the leather — anyone can buy Tuscan hides — but the story, the scarcity discipline, and the direct relationship with the customer. Von Baer's single most valuable, directly copyable move is profession-based segmentation: not "briefcases," but "briefcases for investment bankers," "for litigators," "for auditors." Montec must own its own narrative and channel more deeply than any outsider can, using a real heritage — Yerevan, the diaspora, a concrete first batch — rather than an invented one.</w:t>
      </w:r>
    </w:p>
    <w:p>
      <w:pPr>
        <w:pStyle w:val="Heading2"/>
      </w:pPr>
      <w:r>
        <w:t>3.2 Montec's wedge against Von Baer and the imports</w:t>
      </w:r>
    </w:p>
    <w:p>
      <w:r>
        <w:rPr>
          <w:b w:val="0"/>
          <w:i w:val="0"/>
        </w:rPr>
        <w:t>Montec cannot and should not try to out-scale Von Baer globally. Its advantage is local depth. Where Von Baer is a brand an Armenian executive discovers through an ad, Montec is a brand introduced by a peer, seen at a colleague's desk, or received as a gift from a bank. Where Von Baer must charge Western prices partly to cover Western costs and customer-acquisition spend, Montec produces at Armenian labor cost — craftsmen paid per order, not salaried — and acquires customers through community relationships, letting it deliver comparable material quality at a price that reads as confident rather than exorbitant. And where an imported European bag is anonymous, a Montec piece is ours — a point of pride for a customer base that actively wants to see Armenian craft succeed.</w:t>
      </w:r>
    </w:p>
    <w:p>
      <w:pPr>
        <w:pStyle w:val="Heading2"/>
      </w:pPr>
      <w:r>
        <w:t>3.3 The domestic field</w:t>
      </w:r>
    </w:p>
    <w:p>
      <w:r>
        <w:rPr>
          <w:b w:val="0"/>
          <w:i w:val="0"/>
        </w:rPr>
        <w:t>Within Armenia, competition is fragmented and largely absent at the top. There are souvenir-grade leather sellers and generalist accessory shops, but no domestic house occupies the quiet-luxury, business-professional niche with a coherent brand, a scarcity model and a content engine. The competitive risk is therefore not an incumbent; it is the customer's default habit of buying European abroad. Montec's entire go-to-market is designed to interrupt that habit at the moments it forms — the promotion, the closing, the gift.</w:t>
      </w:r>
    </w:p>
    <w:p>
      <w:pPr>
        <w:pStyle w:val="Heading1"/>
      </w:pPr>
      <w:r>
        <w:t>4. Brand and Product</w:t>
      </w:r>
    </w:p>
    <w:p>
      <w:pPr>
        <w:pStyle w:val="Heading2"/>
      </w:pPr>
      <w:r>
        <w:t>4.1 Positioning</w:t>
      </w:r>
    </w:p>
    <w:p>
      <w:r>
        <w:rPr>
          <w:b w:val="0"/>
          <w:i w:val="0"/>
        </w:rPr>
        <w:t>Montec is quiet-luxury leather for people who have nothing to prove and everything to protect: their time, their reputation, their word. The brand voice is restrained, literate and unhurried. The aesthetic is near-black and brass — a design system built on Obsidian #0A0A0A and Brass #B8975A with Cormorant Garamond and Inter typography — carried consistently from the product to the packaging to the website. Nothing shouts. Everything lasts.</w:t>
      </w:r>
    </w:p>
    <w:p>
      <w:pPr>
        <w:pStyle w:val="Heading2"/>
      </w:pPr>
      <w:r>
        <w:t>4.2 The product architecture — Batch 001 (13 SKUs, locked)</w:t>
      </w:r>
    </w:p>
    <w:p>
      <w:r>
        <w:rPr>
          <w:b w:val="0"/>
          <w:i w:val="0"/>
        </w:rPr>
        <w:t>Montec sells in numbered batches under a naming system built on archetypal business roles — "THE + the role" — so that each object carries a small identity rather than a SKU. Batch 001 comprises thirteen artifacts spanning entry accessories to hero carry pieces, priced in Armenian dram (AMD). Eight of the thirteen have confirmed retail prices; the remaining five are still being finalized.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Type</w:t>
            </w:r>
          </w:p>
        </w:tc>
        <w:tc>
          <w:tcPr>
            <w:tcW w:type="dxa" w:w="2160"/>
          </w:tcPr>
          <w:p>
            <w:r>
              <w:t>Price (AMD)</w:t>
            </w:r>
          </w:p>
        </w:tc>
        <w:tc>
          <w:tcPr>
            <w:tcW w:type="dxa" w:w="2160"/>
          </w:tcPr>
          <w:p>
            <w:r>
              <w:t>Line</w:t>
            </w:r>
          </w:p>
        </w:tc>
      </w:tr>
      <w:tr>
        <w:tc>
          <w:tcPr>
            <w:tcW w:type="dxa" w:w="2160"/>
          </w:tcPr>
          <w:p>
            <w:r>
              <w:t>THE FOUNDER</w:t>
            </w:r>
          </w:p>
        </w:tc>
        <w:tc>
          <w:tcPr>
            <w:tcW w:type="dxa" w:w="2160"/>
          </w:tcPr>
          <w:p>
            <w:r>
              <w:t>Weekender</w:t>
            </w:r>
          </w:p>
        </w:tc>
        <w:tc>
          <w:tcPr>
            <w:tcW w:type="dxa" w:w="2160"/>
          </w:tcPr>
          <w:p>
            <w:r>
              <w:t>270,000</w:t>
            </w:r>
          </w:p>
        </w:tc>
        <w:tc>
          <w:tcPr>
            <w:tcW w:type="dxa" w:w="2160"/>
          </w:tcPr>
          <w:p>
            <w:r>
              <w:t>Flagship. Scale and strategy.</w:t>
            </w:r>
          </w:p>
        </w:tc>
      </w:tr>
      <w:tr>
        <w:tc>
          <w:tcPr>
            <w:tcW w:type="dxa" w:w="2160"/>
          </w:tcPr>
          <w:p>
            <w:r>
              <w:t>THE EXECUTIVE</w:t>
            </w:r>
          </w:p>
        </w:tc>
        <w:tc>
          <w:tcPr>
            <w:tcW w:type="dxa" w:w="2160"/>
          </w:tcPr>
          <w:p>
            <w:r>
              <w:t>Briefcase</w:t>
            </w:r>
          </w:p>
        </w:tc>
        <w:tc>
          <w:tcPr>
            <w:tcW w:type="dxa" w:w="2160"/>
          </w:tcPr>
          <w:p>
            <w:r>
              <w:t>230,000</w:t>
            </w:r>
          </w:p>
        </w:tc>
        <w:tc>
          <w:tcPr>
            <w:tcW w:type="dxa" w:w="2160"/>
          </w:tcPr>
          <w:p>
            <w:r>
              <w:t>The control center — MONTEC RAIL™ docking system.</w:t>
            </w:r>
          </w:p>
        </w:tc>
      </w:tr>
      <w:tr>
        <w:tc>
          <w:tcPr>
            <w:tcW w:type="dxa" w:w="2160"/>
          </w:tcPr>
          <w:p>
            <w:r>
              <w:t>THE UNIT</w:t>
            </w:r>
          </w:p>
        </w:tc>
        <w:tc>
          <w:tcPr>
            <w:tcW w:type="dxa" w:w="2160"/>
          </w:tcPr>
          <w:p>
            <w:r>
              <w:t>Laptop module</w:t>
            </w:r>
          </w:p>
        </w:tc>
        <w:tc>
          <w:tcPr>
            <w:tcW w:type="dxa" w:w="2160"/>
          </w:tcPr>
          <w:p>
            <w:r>
              <w:t>TBD</w:t>
            </w:r>
          </w:p>
        </w:tc>
        <w:tc>
          <w:tcPr>
            <w:tcW w:type="dxa" w:w="2160"/>
          </w:tcPr>
          <w:p>
            <w:r>
              <w:t>Removable laptop case, docks into THE EXECUTIVE.</w:t>
            </w:r>
          </w:p>
        </w:tc>
      </w:tr>
      <w:tr>
        <w:tc>
          <w:tcPr>
            <w:tcW w:type="dxa" w:w="2160"/>
          </w:tcPr>
          <w:p>
            <w:r>
              <w:t>THE CLOSER</w:t>
            </w:r>
          </w:p>
        </w:tc>
        <w:tc>
          <w:tcPr>
            <w:tcW w:type="dxa" w:w="2160"/>
          </w:tcPr>
          <w:p>
            <w:r>
              <w:t>Messenger bag</w:t>
            </w:r>
          </w:p>
        </w:tc>
        <w:tc>
          <w:tcPr>
            <w:tcW w:type="dxa" w:w="2160"/>
          </w:tcPr>
          <w:p>
            <w:r>
              <w:t>190,000</w:t>
            </w:r>
          </w:p>
        </w:tc>
        <w:tc>
          <w:tcPr>
            <w:tcW w:type="dxa" w:w="2160"/>
          </w:tcPr>
          <w:p>
            <w:r>
              <w:t>Negotiation weapon — fast, bold, decisive.</w:t>
            </w:r>
          </w:p>
        </w:tc>
      </w:tr>
      <w:tr>
        <w:tc>
          <w:tcPr>
            <w:tcW w:type="dxa" w:w="2160"/>
          </w:tcPr>
          <w:p>
            <w:r>
              <w:t>THE ARENA</w:t>
            </w:r>
          </w:p>
        </w:tc>
        <w:tc>
          <w:tcPr>
            <w:tcW w:type="dxa" w:w="2160"/>
          </w:tcPr>
          <w:p>
            <w:r>
              <w:t>Desk mat</w:t>
            </w:r>
          </w:p>
        </w:tc>
        <w:tc>
          <w:tcPr>
            <w:tcW w:type="dxa" w:w="2160"/>
          </w:tcPr>
          <w:p>
            <w:r>
              <w:t>40,000</w:t>
            </w:r>
          </w:p>
        </w:tc>
        <w:tc>
          <w:tcPr>
            <w:tcW w:type="dxa" w:w="2160"/>
          </w:tcPr>
          <w:p>
            <w:r>
              <w:t>The battlefield — the leather foundation of the desk.</w:t>
            </w:r>
          </w:p>
        </w:tc>
      </w:tr>
      <w:tr>
        <w:tc>
          <w:tcPr>
            <w:tcW w:type="dxa" w:w="2160"/>
          </w:tcPr>
          <w:p>
            <w:r>
              <w:t>THE BRIEF</w:t>
            </w:r>
          </w:p>
        </w:tc>
        <w:tc>
          <w:tcPr>
            <w:tcW w:type="dxa" w:w="2160"/>
          </w:tcPr>
          <w:p>
            <w:r>
              <w:t>Men's clutch</w:t>
            </w:r>
          </w:p>
        </w:tc>
        <w:tc>
          <w:tcPr>
            <w:tcW w:type="dxa" w:w="2160"/>
          </w:tcPr>
          <w:p>
            <w:r>
              <w:t>TBD</w:t>
            </w:r>
          </w:p>
        </w:tc>
        <w:tc>
          <w:tcPr>
            <w:tcW w:type="dxa" w:w="2160"/>
          </w:tcPr>
          <w:p>
            <w:r>
              <w:t>Operational brief for what matters most, on the move.</w:t>
            </w:r>
          </w:p>
        </w:tc>
      </w:tr>
      <w:tr>
        <w:tc>
          <w:tcPr>
            <w:tcW w:type="dxa" w:w="2160"/>
          </w:tcPr>
          <w:p>
            <w:r>
              <w:t>THE CAPITAL</w:t>
            </w:r>
          </w:p>
        </w:tc>
        <w:tc>
          <w:tcPr>
            <w:tcW w:type="dxa" w:w="2160"/>
          </w:tcPr>
          <w:p>
            <w:r>
              <w:t>Bifold wallet</w:t>
            </w:r>
          </w:p>
        </w:tc>
        <w:tc>
          <w:tcPr>
            <w:tcW w:type="dxa" w:w="2160"/>
          </w:tcPr>
          <w:p>
            <w:r>
              <w:t>40,000</w:t>
            </w:r>
          </w:p>
        </w:tc>
        <w:tc>
          <w:tcPr>
            <w:tcW w:type="dxa" w:w="2160"/>
          </w:tcPr>
          <w:p>
            <w:r>
              <w:t>Daily resources — the classic, executed perfectly.</w:t>
            </w:r>
          </w:p>
        </w:tc>
      </w:tr>
      <w:tr>
        <w:tc>
          <w:tcPr>
            <w:tcW w:type="dxa" w:w="2160"/>
          </w:tcPr>
          <w:p>
            <w:r>
              <w:t>THE TREASURY</w:t>
            </w:r>
          </w:p>
        </w:tc>
        <w:tc>
          <w:tcPr>
            <w:tcW w:type="dxa" w:w="2160"/>
          </w:tcPr>
          <w:p>
            <w:r>
              <w:t>Long wallet</w:t>
            </w:r>
          </w:p>
        </w:tc>
        <w:tc>
          <w:tcPr>
            <w:tcW w:type="dxa" w:w="2160"/>
          </w:tcPr>
          <w:p>
            <w:r>
              <w:t>TBD</w:t>
            </w:r>
          </w:p>
        </w:tc>
        <w:tc>
          <w:tcPr>
            <w:tcW w:type="dxa" w:w="2160"/>
          </w:tcPr>
          <w:p>
            <w:r>
              <w:t>Respect for larger assets and order in money.</w:t>
            </w:r>
          </w:p>
        </w:tc>
      </w:tr>
      <w:tr>
        <w:tc>
          <w:tcPr>
            <w:tcW w:type="dxa" w:w="2160"/>
          </w:tcPr>
          <w:p>
            <w:r>
              <w:t>THE ACCESS</w:t>
            </w:r>
          </w:p>
        </w:tc>
        <w:tc>
          <w:tcPr>
            <w:tcW w:type="dxa" w:w="2160"/>
          </w:tcPr>
          <w:p>
            <w:r>
              <w:t>Cardholder</w:t>
            </w:r>
          </w:p>
        </w:tc>
        <w:tc>
          <w:tcPr>
            <w:tcW w:type="dxa" w:w="2160"/>
          </w:tcPr>
          <w:p>
            <w:r>
              <w:t>30,000</w:t>
            </w:r>
          </w:p>
        </w:tc>
        <w:tc>
          <w:tcPr>
            <w:tcW w:type="dxa" w:w="2160"/>
          </w:tcPr>
          <w:p>
            <w:r>
              <w:t>The universal pass — minimalism, zero friction.</w:t>
            </w:r>
          </w:p>
        </w:tc>
      </w:tr>
      <w:tr>
        <w:tc>
          <w:tcPr>
            <w:tcW w:type="dxa" w:w="2160"/>
          </w:tcPr>
          <w:p>
            <w:r>
              <w:t>THE VOYAGER</w:t>
            </w:r>
          </w:p>
        </w:tc>
        <w:tc>
          <w:tcPr>
            <w:tcW w:type="dxa" w:w="2160"/>
          </w:tcPr>
          <w:p>
            <w:r>
              <w:t>Dopp kit</w:t>
            </w:r>
          </w:p>
        </w:tc>
        <w:tc>
          <w:tcPr>
            <w:tcW w:type="dxa" w:w="2160"/>
          </w:tcPr>
          <w:p>
            <w:r>
              <w:t>40,000</w:t>
            </w:r>
          </w:p>
        </w:tc>
        <w:tc>
          <w:tcPr>
            <w:tcW w:type="dxa" w:w="2160"/>
          </w:tcPr>
          <w:p>
            <w:r>
              <w:t>Personal comfort and ritual, anywhere in the world.</w:t>
            </w:r>
          </w:p>
        </w:tc>
      </w:tr>
      <w:tr>
        <w:tc>
          <w:tcPr>
            <w:tcW w:type="dxa" w:w="2160"/>
          </w:tcPr>
          <w:p>
            <w:r>
              <w:t>THE VISION</w:t>
            </w:r>
          </w:p>
        </w:tc>
        <w:tc>
          <w:tcPr>
            <w:tcW w:type="dxa" w:w="2160"/>
          </w:tcPr>
          <w:p>
            <w:r>
              <w:t>Glasses case</w:t>
            </w:r>
          </w:p>
        </w:tc>
        <w:tc>
          <w:tcPr>
            <w:tcW w:type="dxa" w:w="2160"/>
          </w:tcPr>
          <w:p>
            <w:r>
              <w:t>30,000</w:t>
            </w:r>
          </w:p>
        </w:tc>
        <w:tc>
          <w:tcPr>
            <w:tcW w:type="dxa" w:w="2160"/>
          </w:tcPr>
          <w:p>
            <w:r>
              <w:t>Focus protection for the lenses that spot opportunity.</w:t>
            </w:r>
          </w:p>
        </w:tc>
      </w:tr>
      <w:tr>
        <w:tc>
          <w:tcPr>
            <w:tcW w:type="dxa" w:w="2160"/>
          </w:tcPr>
          <w:p>
            <w:r>
              <w:t>THE BACKBONE</w:t>
            </w:r>
          </w:p>
        </w:tc>
        <w:tc>
          <w:tcPr>
            <w:tcW w:type="dxa" w:w="2160"/>
          </w:tcPr>
          <w:p>
            <w:r>
              <w:t>Brown belt</w:t>
            </w:r>
          </w:p>
        </w:tc>
        <w:tc>
          <w:tcPr>
            <w:tcW w:type="dxa" w:w="2160"/>
          </w:tcPr>
          <w:p>
            <w:r>
              <w:t>TBD</w:t>
            </w:r>
          </w:p>
        </w:tc>
        <w:tc>
          <w:tcPr>
            <w:tcW w:type="dxa" w:w="2160"/>
          </w:tcPr>
          <w:p>
            <w:r>
              <w:t>The spine — character and reliability under load.</w:t>
            </w:r>
          </w:p>
        </w:tc>
      </w:tr>
      <w:tr>
        <w:tc>
          <w:tcPr>
            <w:tcW w:type="dxa" w:w="2160"/>
          </w:tcPr>
          <w:p>
            <w:r>
              <w:t>THE STANDARD</w:t>
            </w:r>
          </w:p>
        </w:tc>
        <w:tc>
          <w:tcPr>
            <w:tcW w:type="dxa" w:w="2160"/>
          </w:tcPr>
          <w:p>
            <w:r>
              <w:t>Black belt</w:t>
            </w:r>
          </w:p>
        </w:tc>
        <w:tc>
          <w:tcPr>
            <w:tcW w:type="dxa" w:w="2160"/>
          </w:tcPr>
          <w:p>
            <w:r>
              <w:t>TBD</w:t>
            </w:r>
          </w:p>
        </w:tc>
        <w:tc>
          <w:tcPr>
            <w:tcW w:type="dxa" w:w="2160"/>
          </w:tcPr>
          <w:p>
            <w:r>
              <w:t>The benchmark — discipline and flawless protocol.</w:t>
            </w:r>
          </w:p>
        </w:tc>
      </w:tr>
    </w:tbl>
    <w:p>
      <w:r>
        <w:rPr>
          <w:b w:val="0"/>
          <w:i w:val="0"/>
        </w:rPr>
      </w:r>
    </w:p>
    <w:p>
      <w:r>
        <w:rPr>
          <w:b w:val="0"/>
          <w:i w:val="0"/>
        </w:rPr>
        <w:t>Materials are full-grain vegetable-tanned Italian calfskin and solid Italian brass hardware. Blind embossing (tone-on-tone, no ink or foil contrast) is the only branding treatment ever applied to the leather itself. Because the smaller accessories consume only a fraction of a hide and the hero pieces perhaps ten to fourteen square feet, blended material cost stays low relative to price, and modeled gross margins sit around 70% across the range — see the Montec Financial Model for the detailed, per-SKU build and for the five prices still marked TBD.</w:t>
      </w:r>
    </w:p>
    <w:p>
      <w:pPr>
        <w:pStyle w:val="Heading2"/>
      </w:pPr>
      <w:r>
        <w:t>4.3 The scarcity system</w:t>
      </w:r>
    </w:p>
    <w:p>
      <w:r>
        <w:rPr>
          <w:b w:val="0"/>
          <w:i w:val="0"/>
        </w:rPr>
        <w:t>Three disciplines protect the brand's premium, and all three are stated as locked brand rules in the Brand Book's "Old-Money Code," not just a working assumption. Purchases are made by application rather than open checkout, which frames each sale as acceptance rather than transaction. Production is released in numbered, limited batches — Batch 001 holds the thirteen artifacts above — so that owning an early piece carries status. And there are no discounts, ever; the price is the price, which both signals confidence and protects margin. These are borrowed directly from Von Baer's "no fake discounts" ethos and sharpened for a smaller, prouder market.</w:t>
      </w:r>
    </w:p>
    <w:p>
      <w:pPr>
        <w:pStyle w:val="Heading1"/>
      </w:pPr>
      <w:r>
        <w:t>5. Operations</w:t>
      </w:r>
    </w:p>
    <w:p>
      <w:pPr>
        <w:pStyle w:val="Heading2"/>
      </w:pPr>
      <w:r>
        <w:t>5.1 Team and asset-light production</w:t>
      </w:r>
    </w:p>
    <w:p>
      <w:r>
        <w:rPr>
          <w:b w:val="0"/>
          <w:i w:val="0"/>
        </w:rPr>
        <w:t>Montec's parent company is FiCorp (owners Ararat and Taron). Production runs on the hands-on capability of the founder together with two named master craftsmen — Artem, and Levon (based in Kapan, becoming the primary maker) — developed through the Montec and Bagrat's Bags workshops. Bagrat's Bags is FiCorp's separate budget-tier brand; the two share physical workshop space and tools, but never brand, pricing, or product decisions. Craftsmen are paid per order rather than a fixed salary — there is no labor cost while there are no orders — which is the single most important reason USD 5,000 is a viable starting capital: the business does not need to build a factory, hire a salaried team, or pre-fund large inventory. Early production is make-to-order and make-to-batch, with materials purchased against confirmed demand.</w:t>
      </w:r>
    </w:p>
    <w:p>
      <w:pPr>
        <w:pStyle w:val="Heading2"/>
      </w:pPr>
      <w:r>
        <w:t>5.2 Supply chain</w:t>
      </w:r>
    </w:p>
    <w:p>
      <w:r>
        <w:rPr>
          <w:b w:val="0"/>
          <w:i w:val="0"/>
        </w:rPr>
        <w:t>The critical inputs are Italian calfskin and brass hardware, both available wholesale internationally, plus linings, thread, packaging and personalization such as laser engraving of initials. The supply chain is deliberately short and controllable at small scale. As volume grows, Artem and Levon's capacity can be supplemented by additional contracted local artisans on a per-piece basis, keeping fixed costs near zero until demand justifies them.</w:t>
      </w:r>
    </w:p>
    <w:p>
      <w:pPr>
        <w:pStyle w:val="Heading2"/>
      </w:pPr>
      <w:r>
        <w:t>5.3 Fulfilment and channel</w:t>
      </w:r>
    </w:p>
    <w:p>
      <w:r>
        <w:rPr>
          <w:b w:val="0"/>
          <w:i w:val="0"/>
        </w:rPr>
        <w:t>Direct-to-consumer orders ship from Yerevan, with the diaspora served by international post. The commercial channels — detailed fully in the Go-to-Market Strategy — are corporate gifting, a direct online store, Instagram and TikTok as discovery and traffic engines, and diaspora community networks such as AGBU Los Angeles for reaching finance, real-estate and legal decision-makers.</w:t>
      </w:r>
    </w:p>
    <w:p>
      <w:pPr>
        <w:pStyle w:val="Heading1"/>
      </w:pPr>
      <w:r>
        <w:t>6. Go-to-Market in Brief</w:t>
      </w:r>
    </w:p>
    <w:p>
      <w:r>
        <w:rPr>
          <w:b w:val="0"/>
          <w:i w:val="0"/>
        </w:rPr>
        <w:t>The launch sequence prioritizes cash-generative, relationship-led revenue first and brand-building demand second. Corporate gifting is the wedge: a real relationship with an Armenian insurer for a 500-unit personalized card-holder programme validates the model — but as of 2026-08-02 that specific programme is PAUSED, pending internal restructuring on the insurer's side, not cancelled. The Financial Model's base case therefore assumes zero corporate revenue in Year 1 and treats resumption as upside, not a committed number — see the Financial Model's "corporate-resumption memo." In parallel, the direct-to-consumer channel is seeded through cinematic short-form content on Instagram (@montecleather), TikTok, and YouTube (@TheMontec), and through diaspora community access, converting on an application-based store. The full channel plan, phasing and KPIs live in the Go-to-Market Strategy document.</w:t>
      </w:r>
    </w:p>
    <w:p>
      <w:pPr>
        <w:pStyle w:val="Heading1"/>
      </w:pPr>
      <w:r>
        <w:t>7. Financial Summary</w:t>
      </w:r>
    </w:p>
    <w:p>
      <w:r>
        <w:rPr>
          <w:b w:val="0"/>
          <w:i w:val="0"/>
        </w:rPr>
        <w:t>The business is modelled from USD 5,000 (≈2,000,000 AMD at an assumed 400 AMD/USD rate — confirm the current rate before relying on this) of launch capital, allocated across initial materials, branded packaging, a sample set for corporate pitching, content production, the online store, and a modest launch marketing budget, with a working-capital contingency. Because production is largely make-to-order and craftsmen are paid per order rather than salaried, fixed costs are minimal and the model turns cash-positive quickly.</w:t>
      </w:r>
    </w:p>
    <w:p>
      <w:r>
        <w:rPr>
          <w:b w:val="0"/>
          <w:i w:val="0"/>
        </w:rPr>
        <w:t>The Financial Model has been rebuilt against the real 13-SKU AMD price list (the original USD figures are superseded) and, per the corrected corporate-deal status above, models the DTC channel alone as the Year-1 base case. On that DTC-only base case, Year-1 revenue is approximately 10,086,000 AMD, gross margin holds around 70%, and operating profit is approximately 4,453,620 AMD (a ~44% operating margin) — smaller than the original corporate-inclusive projection, but the honest number while Nairi is on hold. Break-even sits at roughly 3,724,000 AMD of annual revenue, well below the projected 10,086,000 AMD, and minimum monthly cash never goes negative across Year 1 (floor of about 1,332,000 AMD) even with the corporate channel at zero. If/when the Nairi Insurance programme resumes at its modeled bulk terms, it adds roughly 8,750,000 AMD of revenue and 6,125,000 AMD of gross profit as a single event — a real upside, not a baseline assumption. The detailed unit economics, monthly build, three-year profit-and-loss, cash flow, break-even analysis and conservative/base/upside scenarios are contained in the accompanying Montec Financial Model, whose figures should be read as the authoritative numbers; this section is a narrative summary only.</w:t>
      </w:r>
    </w:p>
    <w:p>
      <w:pPr>
        <w:pStyle w:val="Heading1"/>
      </w:pPr>
      <w:r>
        <w:t>8. Risks and Mitigations</w:t>
      </w:r>
    </w:p>
    <w:p>
      <w:r>
        <w:rPr>
          <w:b w:val="0"/>
          <w:i w:val="0"/>
        </w:rPr>
        <w:t>The principal risks are concentration, capacity, and perception. Revenue concentration in corporate gifting is mitigated by using each corporate order to fund and seed the more durable direct-to-consumer base, so that dependence on any single buyer falls over time — the current pause in the Nairi Insurance programme is itself a live example of why the model is built to survive without it. Production-capacity risk — Artem and Levon being the bottleneck — is mitigated by the make-to-batch model and by a defined path to contracting additional local artisans as demand warrants, so that growth never requires fixed hiring ahead of revenue. Perception risk — that "made in Armenia" is read as lesser than "made in Italy" — is met head-on by the material sourcing of genuinely Italian leather and hardware, by transparent craftsmanship storytelling, and by reframing local production as the brand's whole point for a diaspora that wants Armenian success. Currency and import-cost exposure on materials is managed by buying in sensible lots and pricing with adequate margin headroom.</w:t>
      </w:r>
    </w:p>
    <w:p>
      <w:pPr>
        <w:pStyle w:val="Heading1"/>
      </w:pPr>
      <w:r>
        <w:t>9. The Ask and the Path</w:t>
      </w:r>
    </w:p>
    <w:p>
      <w:r>
        <w:rPr>
          <w:b w:val="0"/>
          <w:i w:val="0"/>
        </w:rPr>
        <w:t>Montec requires no outside capital to begin; USD 5,000 and the founder's team — including Artem and Levon's production capability — are sufficient to launch and reach profitability on the DTC channel alone. The purpose of this plan is to make the logic explicit, to align the launch package, and to establish the milestones against which progress is measured: the Nairi Insurance corporate order resuming and being fulfilled cleanly, direct-to-consumer store live and converting, first diaspora cohort acquired, and Batch 001 sold through. From there, the same model — scarce, story-led, relationship-distributed, made at home from the world's best materials — compounds. The brand's ceiling is not the Armenian market alone; it is every place an Armenian professional wants to carry something that is quietly, unmistakably theirs.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