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MONTEC</w:t>
      </w:r>
    </w:p>
    <w:p>
      <w:pPr>
        <w:pStyle w:val="Heading1"/>
      </w:pPr>
      <w:r>
        <w:t>Go-to-Market Strategy</w:t>
      </w:r>
    </w:p>
    <w:p>
      <w:r>
        <w:rPr>
          <w:i/>
        </w:rPr>
        <w:t>Quiet-luxury leather accessories · Armenia &amp; the Armenian diaspora · Rebuilt 2026-08-02 (13-SKU/AMD naming, FiCorp/team context, corrected Nairi status)</w:t>
      </w:r>
    </w:p>
    <w:p>
      <w:pPr>
        <w:pStyle w:val="Heading1"/>
      </w:pPr>
      <w:r>
        <w:t>1. The Core Idea</w:t>
      </w:r>
    </w:p>
    <w:p>
      <w:r>
        <w:t>Montec's go-to-market is built on a single discipline: earn revenue through relationships first, and build demand through story second. Most luxury launches invert this — they spend heavily on awareness and hope sales follow. Montec cannot and should not, because it launches on USD 5,000 of dedicated capital under parent company FiCorp (owners Ararat and Taron), with production carried by two master craftsmen — Artem and Levon, based in Kapan — paid per order rather than salaried. Its true advantage is not advertising reach but human proximity to exactly the people it wants as customers. So the strategy leads with corporate gifting, where one relationship converts into hundreds of units and instant legitimacy, and uses the cash and credibility that generates to fuel a slower-burning direct-to-consumer engine among Armenian professionals and the diaspora.</w:t>
      </w:r>
    </w:p>
    <w:p>
      <w:r>
        <w:t>Everything below serves that logic. The channels are sequenced by how quickly and cheaply they turn into revenue, not by how impressive they look.</w:t>
      </w:r>
    </w:p>
    <w:p>
      <w:pPr>
        <w:pStyle w:val="Heading1"/>
      </w:pPr>
      <w:r>
        <w:t>2. Who We Are Selling To</w:t>
      </w:r>
    </w:p>
    <w:p>
      <w:r>
        <w:t>Montec has two overlapping audiences and one shared psychology. The first audience is the resident Armenian professional — founders, bank and fund executives, senior lawyers, real-estate developers, roughly aged 30 to 55, concentrated in Yerevan, who have arrived at a level of success they want quietly reflected in what they carry. The second is the affluent Armenian of the diaspora, especially in greater Los Angeles, who has the same taste and, on top of it, an active desire to own something genuinely Armenian and see Armenian enterprise win.</w:t>
      </w:r>
    </w:p>
    <w:p>
      <w:r>
        <w:t>The shared psychology is the "old money" instinct: they distrust logos and loudness, they equate discounts with desperation, and they respond to scarcity, craftsmanship and belonging. Montec speaks to that instinct rather than fighting it. It never chases them with sales; it invites them to apply.</w:t>
      </w:r>
    </w:p>
    <w:p>
      <w:pPr>
        <w:pStyle w:val="Heading1"/>
      </w:pPr>
      <w:r>
        <w:t>3. Positioning and Message</w:t>
      </w:r>
    </w:p>
    <w:p>
      <w:r>
        <w:t>The positioning line that governs every channel is this: Montec is the leather an Armenian professional is proud to carry and prouder to give — the world’s best materials, made at home, sold only to those who ask. Against Von Baer and the imported European houses, the message is not "cheaper" but "ours, and every bit as fine." Against the habit of buying anonymous luxury abroad, the message is that a Montec piece means something an imported bag never can. The tone is confident and unhurried; the brand is doing the buyer a courtesy by admitting them, not the other way around.</w:t>
      </w:r>
    </w:p>
    <w:p>
      <w:pPr>
        <w:pStyle w:val="Heading1"/>
      </w:pPr>
      <w:r>
        <w:t>4. The Channels, In Priority Order</w:t>
      </w:r>
    </w:p>
    <w:p>
      <w:pPr>
        <w:pStyle w:val="Heading2"/>
      </w:pPr>
      <w:r>
        <w:t>4.1 Corporate gifting — the wedge</w:t>
      </w:r>
    </w:p>
    <w:p>
      <w:r>
        <w:t>Corporate gifting is the first and most important channel because, when active, it is effectively pre-sold revenue with a legitimacy dividend. Armenian banks, insurers, law firms, funds and developers all buy year-end and milestone gifts for clients and senior staff, and they want those gifts to signal taste. A personalized THE ACCESS cardholder in a corporate gift edition — engraved with the recipient’s initials — is exactly that signal, and a single programme can move hundreds of units in one order. The real-world anchor is a 500-unit personalized cardholder programme with an Armenian insurer (Nairi Insurance) — as of 2026-08-02 that specific programme is PAUSED pending internal restructuring on the insurer’s side, not cancelled. It remains the template to repeat once it resumes, and the launch sequence in Section 5 is built to not depend on its timing.</w:t>
      </w:r>
    </w:p>
    <w:p>
      <w:r>
        <w:t>The approach is relationship-led and deliberately unsalesy. The founder reaches the decision-maker through the business community, presents a single beautiful sample, and frames it as "an introduction," not a pitch — the corporate order is positioned as a legitimization anchor for the brand as much as a revenue line. Each delivered programme then seeds hundreds of the exact professionals Montec wants as direct customers, who now own a piece and know the name. Target cadence once the pipeline is live: one anchor programme, a second within the first year, and a steady pipeline thereafter.</w:t>
      </w:r>
    </w:p>
    <w:p>
      <w:pPr>
        <w:pStyle w:val="Heading2"/>
      </w:pPr>
      <w:r>
        <w:t>4.2 Direct-to-consumer store — the compounding base</w:t>
      </w:r>
    </w:p>
    <w:p>
      <w:r>
        <w:t>The online store is where the durable business lives. It runs on an application-based model rather than open checkout: a customer requests a piece, which frames the purchase as acceptance and reinforces scarcity, and it never discounts. The store carries the full Batch 001 ladder from THE ACCESS cardholder up to THE FOUNDER flagship weekender, with monogramming offered as standard. It ships from Yerevan domestically and by international post to the diaspora. The store’s job is to convert the attention generated by content and community into orders and to climb each buyer up the ladder over time, from a first cardholder toward a hero piece such as THE EXECUTIVE briefcase or THE FOUNDER.</w:t>
      </w:r>
    </w:p>
    <w:p>
      <w:pPr>
        <w:pStyle w:val="Heading2"/>
      </w:pPr>
      <w:r>
        <w:t>4.3 Instagram, TikTok, YouTube and community messaging — discovery and traffic</w:t>
      </w:r>
    </w:p>
    <w:p>
      <w:r>
        <w:t>Short-form video is Montec’s paid-media substitute. Rather than buy awareness, the brand manufactures it through cinematic, vertical 9:16 content that makes the craft and the world of the brand desirable — the cut, the stitch, the patina, the closing of a deal. Instagram (@montecleather) is the home of the brand’s considered image; TikTok is a top-of-funnel traffic engine feeding the store and the application; YouTube (@TheMontec) carries longer-form craft and heritage films that Instagram/TikTok cannot hold. LinkedIn carries the corporate-gifting narrative directly to decision-makers, while Facebook and WhatsApp Business serve community and diaspora conversations one-to-one. This is where launch-phase posting frequency is deliberately higher than pure quiet-luxury restraint would suggest, because at a zero-follower start the brand must first be seen before it can afford to be scarce. The detailed pillar and calendar plan lives in the Content Strategy document; here it is enough to say the platforms exist to drive applications and corporate inquiries, and every piece of content should ladder to one of those two actions.</w:t>
      </w:r>
    </w:p>
    <w:p>
      <w:pPr>
        <w:pStyle w:val="Heading2"/>
      </w:pPr>
      <w:r>
        <w:t>4.4 Diaspora community networks — the unfair advantage</w:t>
      </w:r>
    </w:p>
    <w:p>
      <w:r>
        <w:t>No international competitor can access the Armenian diaspora the way Montec can. The priority node is AGBU Los Angeles, the single highest-value channel for reaching diaspora C-suite targets in finance, real estate and law. The plan is to show up in the community authentically — through events, introductions, and the corporate-gifting logic applied to diaspora businesses and organizations — so that Montec becomes known as the Armenian luxury brand within the network that most wants one to exist. Word of mouth inside this community is worth more than any ad, and it is free.</w:t>
      </w:r>
    </w:p>
    <w:p>
      <w:pPr>
        <w:pStyle w:val="Heading2"/>
      </w:pPr>
      <w:r>
        <w:t>4.5 Channels deliberately deprioritized</w:t>
      </w:r>
    </w:p>
    <w:p>
      <w:r>
        <w:t>Discipline about what not to do protects the small budget. Marketplaces such as Amazon are set aside because they conflict with the brand’s exclusivity, and Etsy is unavailable because its payments do not support Armenia. Wholesale and third-party retail are avoided at launch because they reintroduce the middleman the model exists to remove and dilute the direct relationship. These may be revisited later, but not with launch capital.</w:t>
      </w:r>
    </w:p>
    <w:p>
      <w:pPr>
        <w:pStyle w:val="Heading1"/>
      </w:pPr>
      <w:r>
        <w:t>5. The Launch Sequence</w:t>
      </w:r>
    </w:p>
    <w:p>
      <w:pPr>
        <w:pStyle w:val="Heading2"/>
      </w:pPr>
      <w:r>
        <w:t>5.1 Phase 0 — Foundations (pre-launch, weeks 1–4)</w:t>
      </w:r>
    </w:p>
    <w:p>
      <w:r>
        <w:t>Before any selling, the brand assets must be right. This means finalizing the Batch 001 pieces and one exceptional corporate sample, standing up the application-based store, producing the first tranche of content, and preparing the packaging and personalization workflow with Artem and Levon. In parallel, the founder tracks the Nairi Insurance programme for a resumption signal and lines up alternative corporate conversations rather than waiting on a single relationship. The measure of Phase 0 is readiness: a store that converts, a sample that sells itself, and a pipeline that is warm regardless of Nairi’s timing.</w:t>
      </w:r>
    </w:p>
    <w:p>
      <w:pPr>
        <w:pStyle w:val="Heading2"/>
      </w:pPr>
      <w:r>
        <w:t>5.2 Phase 1 — Wedge and seed (months 1–3)</w:t>
      </w:r>
    </w:p>
    <w:p>
      <w:r>
        <w:t>Because the Nairi Insurance anchor programme is currently paused, Phase 1 treats direct-to-consumer revenue as the committed base case rather than assuming corporate revenue lands on schedule. Content goes live at launch-phase frequency and the store opens to applications, seeded by the first diaspora outreach and any early corporate conversations that do close. If Nairi resumes during this window, its 500-unit programme is a welcome accelerant, not a required input — see the Financial Model’s DTC-only base case and corporate-resumption memo. Success looks like the store live and taking its first applications and a visible content presence, with the corporate wedge treated as upside whenever it lands.</w:t>
      </w:r>
    </w:p>
    <w:p>
      <w:pPr>
        <w:pStyle w:val="Heading2"/>
      </w:pPr>
      <w:r>
        <w:t>5.3 Phase 2 — Ramp (months 4–9)</w:t>
      </w:r>
    </w:p>
    <w:p>
      <w:r>
        <w:t>With cash from the DTC base (and the Nairi programme if it has resumed by this point), the brand widens. A corporate programme — Nairi’s resumption or a newly closed alternative — is delivered, diaspora activity deepens through AGBU Los Angeles, and direct-to-consumer volume climbs as content compounds and early buyers return for higher pieces. This is where the base becomes real: the mix of revenue begins to shift from purely direct-to-consumer toward a healthier balance that includes corporate gifting, reducing concentration risk in either direction.</w:t>
      </w:r>
    </w:p>
    <w:p>
      <w:pPr>
        <w:pStyle w:val="Heading2"/>
      </w:pPr>
      <w:r>
        <w:t>5.4 Phase 3 — Establish (months 10–12 and beyond)</w:t>
      </w:r>
    </w:p>
    <w:p>
      <w:r>
        <w:t>By the end of year one, Montec is an established name within its niche: Batch 001 is sold through or nearly so, the store converts steadily, corporate gifting is a repeatable pipeline rather than a one-off (whether anchored by Nairi’s resumption or a diversified set of relationships), and the diaspora channel is producing organic word of mouth. The groundwork for Batch 002 and for scaling production through additional contracted artisans alongside Artem and Levon is laid. The brand now compounds.</w:t>
      </w:r>
    </w:p>
    <w:p>
      <w:pPr>
        <w:pStyle w:val="Heading1"/>
      </w:pPr>
      <w:r>
        <w:t>6. Metrics That Matter</w:t>
      </w:r>
    </w:p>
    <w:p>
      <w:r>
        <w:t>The right metrics keep a bootstrap honest, so Montec tracks a short, meaningful set rather than a vanity dashboard. On revenue, the numbers that count are corporate programmes closed and their unit value, direct-to-consumer orders per month, average order value, and the revenue mix between corporate and direct — the last being the true measure of whether the durable base is growing independent of any single corporate relationship. On efficiency, the brand watches gross margin percentage and the cost to acquire a direct customer, which should stay very low because acquisition is content- and community-led. On brand health, it watches applications received versus accepted, repeat-purchase and ladder-climb rate, and diaspora reach through community touchpoints. On content, it watches not follower count for its own sake but the rate at which content converts to applications and inquiries. Each phase has a single headline goal — readiness, then proof, then ramp, then establishment — and the metrics exist to confirm the brand is clearing that bar before spending against the next one.</w:t>
      </w:r>
    </w:p>
    <w:p>
      <w:pPr>
        <w:pStyle w:val="Heading1"/>
      </w:pPr>
      <w:r>
        <w:t>7. Budget Posture</w:t>
      </w:r>
    </w:p>
    <w:p>
      <w:r>
        <w:t>The go-to-market is engineered to fit USD 5,000, which is possible only because the two highest-value channels — corporate gifting and diaspora community — cost relationships rather than cash, and the third — organic short-form content — is produced by the founder. Production itself stays asset-light because Artem and Levon (Kapan) are paid per completed order rather than a fixed salary, so there is no labor cost sitting idle while the corporate pipeline (Nairi or otherwise) is between programmes. The small budget therefore concentrates on the things that must be paid for: exceptional samples and packaging that make the corporate pitch and the unboxing feel like luxury, the store, and a modest launch content and outreach spend. The detailed allocation and its return sit in the Montec Financial Model; the strategic point is that Montec buys credibility and relationships, not impressions.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