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ДИЗАЙН-БРИФ — ОТВЕТЫ</w:t>
      </w:r>
    </w:p>
    <w:p>
      <w:r>
        <w:rPr>
          <w:b/>
        </w:rPr>
        <w:t xml:space="preserve">НАЗВАНИЕ КОМПАНИИ: </w:t>
      </w:r>
      <w:r>
        <w:t>MONTEC (юридически — под FiCorp)</w:t>
        <w:br/>
      </w:r>
      <w:r>
        <w:rPr>
          <w:b/>
        </w:rPr>
        <w:t xml:space="preserve">ДАТА: </w:t>
      </w:r>
      <w:r>
        <w:t>09.08.2026</w:t>
        <w:br/>
      </w:r>
      <w:r>
        <w:rPr>
          <w:b/>
        </w:rPr>
        <w:t xml:space="preserve">КОНТАКТНЫЕ ЛИЦА / ДОЛЖНОСТЬ: </w:t>
      </w:r>
      <w:r>
        <w:t>[Ваше имя] — Founder &amp; Biz Dev · Арарат, Тарон — совладельцы FiCorp (материнская компания)</w:t>
        <w:br/>
      </w:r>
      <w:r>
        <w:rPr>
          <w:b/>
        </w:rPr>
        <w:t xml:space="preserve">ТЕЛЕФОН: </w:t>
      </w:r>
      <w:r>
        <w:t>[указать]</w:t>
        <w:br/>
      </w:r>
      <w:r>
        <w:rPr>
          <w:b/>
        </w:rPr>
        <w:t xml:space="preserve">EMAIL: </w:t>
      </w:r>
      <w:r>
        <w:t>[указать — фирменный домен и почта ещё не выбраны; на сегодня основной контактный канал — Instagram instagram.com/montecleather]</w:t>
      </w:r>
    </w:p>
    <w:p>
      <w:pPr>
        <w:pStyle w:val="Heading1"/>
      </w:pPr>
      <w:r>
        <w:t>1. КОМПАНИЯ И МИССИЯ</w:t>
      </w:r>
    </w:p>
    <w:p>
      <w:r>
        <w:rPr>
          <w:b/>
        </w:rPr>
        <w:t xml:space="preserve">01. О компании и её истории. </w:t>
      </w:r>
      <w:r>
        <w:t>MONTEC — марка кожаных аксессуаров категории quiet luxury для людей, которые управляют капиталом, закрывают сделки и подписывают документы, имеющие значение. Материнская компания — FiCorp (совладельцы Арарат и Тарон); мы также работаем рядом с мастерскими Bagrat's Bags — отдельного бюджетного бренда FiCorp, с которым делим только физическую инфраструктуру мастерской, не бренд и не продукт. Изделия разработаны в Армении, производятся из 100% полнозернистой кожи растительного дубления итальянского происхождения с итальянской латунной фурнитурой. Бизнес-модель ориентируется на Von Baer (Эстония) как прямой референс по категории и механике — с осознанными отличиями (см. п. 04). Компания на стадии пре-запуска: продуктовая линейка, часть цен, вся визуальная айдентика и референсная фотография Batch 001 уже зафиксированы; сам сайт ещё не существует — этот бриф про первую сборку, а не редизайн.</w:t>
      </w:r>
    </w:p>
    <w:p>
      <w:r>
        <w:rPr>
          <w:b/>
        </w:rPr>
        <w:t xml:space="preserve">02. Основная миссия проекта. </w:t>
      </w:r>
      <w:r>
        <w:t>Дать армянским профессионалам — дома и в диаспоре — предмет, который гордятся носить и ещё больше гордятся подарить: тихую роскошь, заслуженную, а не купленную напоказ. Мы продаём не аксессуар, а материальное подтверждение состоятельности без единого выкрика: сделано дома, из лучших материалов мира, продаётся только тем, кто попросил.</w:t>
      </w:r>
    </w:p>
    <w:p>
      <w:r>
        <w:rPr>
          <w:b/>
        </w:rPr>
        <w:t xml:space="preserve">03. Приоритетные товары. </w:t>
      </w:r>
      <w:r>
        <w:t>Batch 001 — 13 позиций, цены в армянских драмах, 8 из 13 уже зафиксированы: THE FOUNDER (weekender, флагман) — 270 000 ֏; THE EXECUTIVE (портфель с системой стыковки MONTEC RAIL™) — 230 000 ֏; THE CLOSER (мессенджер-сумка) — 190 000 ֏; THE ARENA (кожаный органайзер для стола) — 40 000 ֏; THE CAPITAL (бифолд-кошелёк) — 40 000 ֏; THE ACCESS (картхолдер) — 30 000 ֏; THE VOYAGER (несессер) — 40 000 ֏; THE VISION (футляр для очков) — 30 000 ֏. Ещё 5 (THE UNIT, THE BRIEF, THE TREASURY, THE BACKBONE, THE STANDARD) в разработке по цене. Ключевая фича платформы — не корзина, а заявка: кнопка "REQUEST ACCESS" вместо "добавить в корзину", и нумерация партии ("0X/13") на каждой карточке. Второй уникальный элемент — экосистема MONTEC RAIL™: THE UNIT (модуль под ноутбук) физически стыкуется с THE EXECUTIVE — функциональная инновация, которой нет у конкурентов. Основной канал продаж на старте — корпоративный подарочный B2B (bulk-заказы для банков, страховых, юрфирм), направление D2C — вторично.</w:t>
      </w:r>
    </w:p>
    <w:p>
      <w:r>
        <w:rPr>
          <w:b/>
        </w:rPr>
        <w:t xml:space="preserve">04. Конкурентное преимущество. </w:t>
      </w:r>
      <w:r>
        <w:t>Von Baer — реальная, но скромная компания (5 сотрудников, Таллин, прогноз выручки 2026 ~€1,86 млн), которая построила люксовое позиционирование на выдуманной "итальянской истории с 1961 года" и SEO-машине из ~600 URL, а не на исключительном продукте. У них нет настоящего сегмента дефицита (купить может кто угодно) и нет верхнего ценового яруса выше ~$1 995. MONTEC отличается по существу, а не по вывеске: подлинное происхождение (Ереван, диаспора, конкретный первый батч — а не придуманная тосканская легенда), армянская себестоимость производства против западной, настоящая структура дефицита (заявка + нумерованные партии — это архитектура, а не маркетинговый приём), единая номенклатурная система "THE + роль" вместо родовых названий, и функциональная инновация (MONTEC RAIL™), которой нет ни у одного конкурента.</w:t>
      </w:r>
    </w:p>
    <w:p>
      <w:r>
        <w:rPr>
          <w:b/>
        </w:rPr>
        <w:t xml:space="preserve">05. Почему выбирают нас. </w:t>
      </w:r>
      <w:r>
        <w:t>Потому что вещь заслужена, а не разрекламирована: сделано дома из лучших материалов мира; цена — это цена, скидок не бывает никогда; продажа — по заявке, а не по клику; ремесло подлинное — два мастера, Артём и Левон (Капан), а не легенда о тосканской мастерской; и есть настоящее функциональное преимущество (стыковочная система RAIL), а не только эстетика.</w:t>
      </w:r>
    </w:p>
    <w:p>
      <w:pPr>
        <w:pStyle w:val="Heading1"/>
      </w:pPr>
      <w:r>
        <w:t>2. ЦЕЛЕВАЯ АУДИТОРИЯ</w:t>
      </w:r>
    </w:p>
    <w:p>
      <w:r>
        <w:rPr>
          <w:b/>
        </w:rPr>
        <w:t xml:space="preserve">06. Основной клиент. </w:t>
      </w:r>
      <w:r>
        <w:t>Два равнозначных портрета плюс B2B-покупатель. (1) Резидентный армянский профессионал в Ереване — основатель, топ-менеджер банка/фонда, юрист, девелопер, 30–55 лет, уже добился успеха и хочет, чтобы это тихо считывалось в вещах, которые он носит. (2) Состоятельный армянин диаспоры (США — Лос-Анджелес/Глендейл; Франция; Россия), та же эстетика плюс осознанное желание владеть чем-то подлинно армянским. (3) Корпоративный покупатель — HR/маркетинг-директор банка, страховой компании, юрфирмы, выбирающий подарок для клиентов и партнёров, которому важно, чтобы подарок считывался как вкус, а не как сувенир.</w:t>
      </w:r>
    </w:p>
    <w:p>
      <w:r>
        <w:rPr>
          <w:b/>
        </w:rPr>
        <w:t xml:space="preserve">07. География. </w:t>
      </w:r>
      <w:r>
        <w:t>Ереван — основной локальный рынок. Диаспора: США (Лос-Анджелес/Глендейл, Нью-Йорк), Франция (Париж), Россия (Москва) плюс международный экспорт в целом. Аудитория намеренно не диаспороцентрична — локальный и диаспорный сегменты равны по приоритету.</w:t>
      </w:r>
    </w:p>
    <w:p>
      <w:r>
        <w:rPr>
          <w:b/>
        </w:rPr>
        <w:t xml:space="preserve">08. Какую проблему мы решаем. </w:t>
      </w:r>
      <w:r>
        <w:t>У армянского профессионала с деньгами и вкусом нет домашнего люксового кожаного бренда — только импортные европейские дома, купленные за границей или онлайн, с полной розничной наценкой и без смысла "сделано дома". Для корпоративного покупателя выбор ещё уже: либо безликий импорт, либо кустарное производство без бренда, без структуры дефицита и без истории, которую можно рассказать получателю подарка. Мы закрываем оба разрыва: тихая роскошь местного производства плюс архитектура дефицита (заявка, нумерованные партии, никаких скидок), которая делает обладание вещью значимым.</w:t>
      </w:r>
    </w:p>
    <w:p>
      <w:pPr>
        <w:pStyle w:val="Heading1"/>
      </w:pPr>
      <w:r>
        <w:t>3. ИДЕНТИЧНОСТЬ БРЕНДА</w:t>
      </w:r>
    </w:p>
    <w:p>
      <w:r>
        <w:rPr>
          <w:b/>
        </w:rPr>
        <w:t xml:space="preserve">09. Какое впечатление должен производить сайт. </w:t>
      </w:r>
      <w:r>
        <w:t>Тихую уверенность и заслуженную роскошь: "здесь ничего не выкрикивают — здесь показывают". Не броско, не логотипично, не глянцево-стоково; редакторская подача, никакой спешки. Посетитель должен почувствовать, что его приглашают, а не продают ему.</w:t>
      </w:r>
    </w:p>
    <w:p>
      <w:r>
        <w:rPr>
          <w:b/>
        </w:rPr>
        <w:t xml:space="preserve">10. Бренд как человек (3–5 слов). </w:t>
      </w:r>
      <w:r>
        <w:t>Сдержанный · уверенный · немногословный · безупречный · заслуживший. Образ — дилмейкер, который уже всё доказал и никому ничего не должен доказывать.</w:t>
      </w:r>
    </w:p>
    <w:p>
      <w:r>
        <w:rPr>
          <w:b/>
        </w:rPr>
        <w:t xml:space="preserve">11. Основные ценности. </w:t>
      </w:r>
      <w:r>
        <w:t>Четыре ценности, зафиксированные в Brand Book как "Old-Money Code": (1) заслуженность, а не реклама — ценность видна только тем, кто понимает; (2) материальная честность — полнозернистая кожа растительного дубления, мы показываем изготовление, ничего не скрываем; (3) дисциплина дефицита — по заявке, нумерованные партии, скидок не бывает никогда; (4) сделано дома — итальянская кожа, армянские руки, и это не компромисс, а суть бренда. Два тэглайна в разных контекстах: "Craftsmanship and strategy for those who write history" и "I am not rich enough to buy cheap things."</w:t>
      </w:r>
    </w:p>
    <w:p>
      <w:r>
        <w:rPr>
          <w:b/>
        </w:rPr>
        <w:t xml:space="preserve">12. Обязательные для отражения особенности. </w:t>
      </w:r>
      <w:r>
        <w:t>Айдентика уже полностью зафиксирована (см. раздел 4) — задача дизайнера имплементировать её на живом сайте, а не переизобретать. Обязательны: горная монограмма, точная палитра, пара шрифтов Cormorant Garamond + Inter, правило слепого тиснения, оба тэглайна, номенклатура "THE + роль", 5-польная спецификация "THE AUDIT" на карточке товара, кнопка "REQUEST ACCESS".</w:t>
      </w:r>
    </w:p>
    <w:p>
      <w:pPr>
        <w:pStyle w:val="Heading1"/>
      </w:pPr>
      <w:r>
        <w:t>4. ЛОГОТИП И ФИРМЕННЫЙ СТИЛЬ</w:t>
      </w:r>
    </w:p>
    <w:p>
      <w:r>
        <w:rPr>
          <w:b/>
        </w:rPr>
        <w:t xml:space="preserve">13. Что нравится в текущем логотипе. </w:t>
      </w:r>
      <w:r>
        <w:t>Всё — символика финализирована и не обсуждается: горная монограмма из двух перекрывающихся треугольных пиков, стилизованная "M"/гора — прямая визуализация половины "Mont" в имени. Уже существует полный пакет ассетов (чёрный на белом, золото на белом, золото на чёрном) и спецификация размеров (S=15 мм / M=45 мм / L=70 мм, деталь "ORIGIN" 3,5–4 мм).</w:t>
      </w:r>
    </w:p>
    <w:p>
      <w:r>
        <w:rPr>
          <w:b/>
        </w:rPr>
        <w:t xml:space="preserve">14. Что хотели бы улучшить. </w:t>
      </w:r>
      <w:r>
        <w:t>Сам знак — ничего. Нужна только техническая доводка под веб: чистые векторы во всех вариантах (тёмная/светлая тема, монохром), проверка читаемости на масштабе favicon и мобильной шапки.</w:t>
      </w:r>
    </w:p>
    <w:p>
      <w:r>
        <w:rPr>
          <w:b/>
        </w:rPr>
        <w:t xml:space="preserve">15. Готовы ли к полной трансформации. </w:t>
      </w:r>
      <w:r>
        <w:t>Нет. Айдентика зафиксирована — цвета, типографика, тональность тиснения, оба тэглайна. Дизайнер работает внутри системы, а не поверх неё. Готовы обсуждать точечные уточнения, если они обоснованы бизнес-задачей, но не пересмотр с нуля.</w:t>
      </w:r>
    </w:p>
    <w:p>
      <w:r>
        <w:rPr>
          <w:b/>
        </w:rPr>
        <w:t xml:space="preserve">16. Обязательно сохраняемые элементы. </w:t>
      </w:r>
      <w:r>
        <w:t>Название MONTEC; горная монограмма; точная цветовая палитра (см. п. 17); пара Cormorant Garamond + Inter; правило слепого тиснения — рельеф тон-в-тон, без чернил и без цветового/фольгового контраста на самой коже (золотое фольгирование — только в hero-обложках, не как базовый брендинг товара); оба тэглайна; номенклатура "THE + роль" для каждого SKU; 5-польная таксономия "THE AUDIT" (EXTERNAL / ARCHITECTURE / VOLUME / HARDWARE / MARKINGS) на карточке товара; кнопка "REQUEST ACCESS" вместо корзины; нумерация "0X/13".</w:t>
      </w:r>
    </w:p>
    <w:p>
      <w:r>
        <w:rPr>
          <w:b/>
        </w:rPr>
        <w:t xml:space="preserve">17. Обязательные цвета/шрифты. </w:t>
      </w:r>
      <w:r>
        <w:t>Obsidian #0A0A0A (фон, вордмарк) · Brass #B8975A — единственный акцент: фурнитура, линии, выделения (вариант brass-soft #C9AE7C) · Anthracite #2B2B2B (средний тон, панели/разделители) · Warm Paper #FAF8F3 (светлый фон для печати/документов). Пропорция: Obsidian 70% / Anthracite+Paper 24% / Brass 6% — "латунь — это приправа, не соус". Типографика: Cormorant Garamond (serif — заголовки, вордмарк, названия товаров, цитаты) + Inter (sans — основной текст, подписи, интерфейс, спецификации). Serif и sans никогда не меняются местами.</w:t>
      </w:r>
    </w:p>
    <w:p>
      <w:pPr>
        <w:pStyle w:val="Heading1"/>
      </w:pPr>
      <w:r>
        <w:t>5. ЦЕЛИ И ДИЗАЙН САЙТА</w:t>
      </w:r>
    </w:p>
    <w:p>
      <w:r>
        <w:rPr>
          <w:b/>
        </w:rPr>
        <w:t xml:space="preserve">18. Что не устраивает в текущем сайте. </w:t>
      </w:r>
      <w:r>
        <w:t>Живого сайта пока нет — это первая сборка, а не редизайн. Есть детально проработанный концепт-макет карточки товара (см. материалы, worked example — THE FOUNDER) и HTML-прототип Brand Book. Всё остальное строится с нуля.</w:t>
      </w:r>
    </w:p>
    <w:p>
      <w:r>
        <w:rPr>
          <w:b/>
        </w:rPr>
        <w:t xml:space="preserve">19. Страницы, требующие особого внимания. </w:t>
      </w:r>
      <w:r>
        <w:t>(1) Главная — впечатление заслуженной роскоши за 5 секунд; (2) карточка товара по фиксированному шаблону: хедер с логотипом, breadcrumb "0X/13 — [КАТЕГОРИЯ]", название крупным serif, курсивный подзаголовок-позиционирование, спецификация "THE AUDIT", цена в AMD и кнопка "REQUEST ACCESS", футер "Continue the Set"; (3) страница коллекции Batch 001 — все 13 позиций; (4) B2B/корпоративный подарочный лендинг — так как corporate gifting является основным каналом запуска, а не D2C; (5) страница о бренде — Ереван, диаспора, подлинное происхождение против выдуманного (в противовес Von Baer).</w:t>
      </w:r>
    </w:p>
    <w:p>
      <w:r>
        <w:rPr>
          <w:b/>
        </w:rPr>
        <w:t xml:space="preserve">20. Новые разделы/функции. </w:t>
      </w:r>
      <w:r>
        <w:t>Форма заявки "REQUEST ACCESS" (не корзина); видимая нумерация партии на каждой карточке ("0X/13"); форма корпоративного/wholesale запроса (bulk-gifting inquiry); переиспользуемый компонент "THE AUDIT" на каждой карточке товара; демонстрация совместимости MONTEC RAIL™ (THE UNIT ↔ THE EXECUTIVE); 3 языка — EN/HY/RU, английский запускается первым.</w:t>
      </w:r>
    </w:p>
    <w:p>
      <w:r>
        <w:rPr>
          <w:b/>
        </w:rPr>
        <w:t xml:space="preserve">21. Что можно убрать/упростить. </w:t>
      </w:r>
      <w:r>
        <w:t>Обсудим с дизайнером в процессе работы, исходя из его рекомендаций по макетам.</w:t>
      </w:r>
    </w:p>
    <w:p>
      <w:r>
        <w:rPr>
          <w:b/>
        </w:rPr>
        <w:t xml:space="preserve">22. Главная цель сайта. </w:t>
      </w:r>
      <w:r>
        <w:t>Сбор заявок через "REQUEST ACCESS" — не прямая онлайн-продажа, поскольку модель героических позиций Batch 001 работает по принципу access-by-application, а не открытого чекаута. Вторая по важности цель — входящие корпоративные/wholesale запросы, поскольку corporate gifting остаётся основным каналом выручки на старте.</w:t>
      </w:r>
    </w:p>
    <w:p>
      <w:r>
        <w:rPr>
          <w:b/>
        </w:rPr>
        <w:t xml:space="preserve">23. Общий стиль. </w:t>
      </w:r>
      <w:r>
        <w:t>Тихий премиальный минимализм, почти монохромный (obsidian + warm paper), латунь — единственный акцент. Крупная serif-типографика для вордмарка и названий товаров, много воздуха, редакторская (не стоковая) фотография, сдержанная моушн-графика.</w:t>
      </w:r>
    </w:p>
    <w:p>
      <w:r>
        <w:rPr>
          <w:b/>
        </w:rPr>
        <w:t xml:space="preserve">24. Референсы. </w:t>
      </w:r>
      <w:r>
        <w:t>Von Baer (vonbaer.com) — прямой бизнес-референс по модели и категории, но не по визуалу дословно: мы отличаемся системой имён, подлинным (не выдуманным) происхождением и функциональной инновацией MONTEC RAIL™. Конкретный визуальный шорт-лист (quiet-luxury D2C бренды с редакторской подачей) уточним совместно с дизайнером на старте работы.</w:t>
      </w:r>
    </w:p>
    <w:p>
      <w:r>
        <w:rPr>
          <w:b/>
        </w:rPr>
        <w:t xml:space="preserve">25. Чего избегать. </w:t>
      </w:r>
      <w:r>
        <w:t>Сторонних логотипов и заимствованных эмблем любого рода на продукте или сайте; цветного или контрастного тиснения — только слепое тиснение тон-в-тон; интонации "доступной роскоши", скидочных плашек и витринного шума; холодного корпоративного стока; риторики, которая читается как диаспороцентричная — локальный и диаспорный сегменты равны.</w:t>
      </w:r>
    </w:p>
    <w:p>
      <w:pPr>
        <w:pStyle w:val="Heading1"/>
      </w:pPr>
      <w:r>
        <w:t>6. КОНТЕНТ И МАТЕРИАЛЫ</w:t>
      </w:r>
    </w:p>
    <w:p>
      <w:r>
        <w:rPr>
          <w:b/>
        </w:rPr>
        <w:t xml:space="preserve">26. Тексты. </w:t>
      </w:r>
      <w:r>
        <w:t>Готовы полностью на английском — первом языке запуска: Business Plan, Go-to-Market Strategy, Content Strategy и Brand Book переработаны и являются рабочими версиями. Копирайт по каждому из 13 SKU (позиционирующая строка на товар) уже определён. Армянский и русский переводы — в открытых задачах, ещё не начаты.</w:t>
      </w:r>
    </w:p>
    <w:p>
      <w:r>
        <w:rPr>
          <w:b/>
        </w:rPr>
        <w:t xml:space="preserve">27. Новое фото/медиа. </w:t>
      </w:r>
      <w:r>
        <w:t>Да — по каждому из 13 SKU уже существуют эталонные 9-панельные студийные тёрнэраунд-рендеры (это референс, ground truth для внешнего вида каждого товара). Плюс два готовых видео-концепта: THE CLOSER (кинематографичная transformation-концепция, холодный "нолановский" грейд, 9:16) и THE ARENA (17-секундный продуктовый ролик). Направление съёмки: (1) editorial lifestyle — костюмы, город, интерьеры авто; (2) продуктовый макро на чёрном фоне с бликом-акцентом ✦; (3) кинематографичное hero-видео — холодный сине-серый грейд с тёплым латунным акцентом на коже/фурнитуре, 35mm anamorphic look, без текстовых оверлеев кроме титульных карточек.</w:t>
      </w:r>
    </w:p>
    <w:p>
      <w:r>
        <w:rPr>
          <w:b/>
        </w:rPr>
        <w:t xml:space="preserve">28. Текущие профессиональные фото. </w:t>
      </w:r>
      <w:r>
        <w:t>Да, полный каталог: batch-001-catalog.pdf с фотографией, ценами и спецификацией "THE AUDIT" для 8 из 13 позиций, плюс 9-панельные тёрнэраунд-рендеры для всех 13 SKU. Дизайнер получает от нас канонические файлы и работает с ними, не с плейсхолдерами.</w:t>
      </w:r>
    </w:p>
    <w:p>
      <w:r>
        <w:rPr>
          <w:b/>
        </w:rPr>
        <w:t xml:space="preserve">29. Какие материалы предоставим. </w:t>
      </w:r>
      <w:r>
        <w:t>Всё, что у нас есть: полный пакет логотипа (чёрный/золото на белом/чёрном + спецификация размеров), точную палитру hex-кодов, оба тэглайна, готовый HTML-прототип Brand Book, шаблон карточки товара (проработанный пример — THE FOUNDER), полный каталог Batch 001 (тёрнэраунды + спецификации), переработанные Business Plan / GTM Strategy / Content Strategy, 45-дневный контент-календарь запуска, видео-концепты THE CLOSER и THE ARENA. В отличие от типичного брифа, Brand Book у нас уже существует — дизайнер работает по готовой системе, а не создаёт её с нуля.</w:t>
      </w:r>
    </w:p>
    <w:p>
      <w:pPr>
        <w:pStyle w:val="Heading1"/>
      </w:pPr>
      <w:r>
        <w:t>7. ВЗАИМОДЕЙСТВИЕ И КРИТЕРИИ УСПЕХА</w:t>
      </w:r>
    </w:p>
    <w:p>
      <w:r>
        <w:rPr>
          <w:b/>
        </w:rPr>
        <w:t xml:space="preserve">30. Главное целевое действие (CTA). </w:t>
      </w:r>
      <w:r>
        <w:t>"REQUEST ACCESS" — заявка на доступ к позиции Batch 001, не корзина/чекаут для героических позиций. Второй по значимости CTA — корпоративный/wholesale запрос, учитывая, что основной канал запуска — corporate gifting, а не D2C.</w:t>
      </w:r>
    </w:p>
    <w:p>
      <w:r>
        <w:rPr>
          <w:b/>
        </w:rPr>
        <w:t xml:space="preserve">31. Первые 5 секунд. </w:t>
      </w:r>
      <w:r>
        <w:t>Понять: "тихая роскошь кожаных изделий, made в Армении для тех, кто пишет историю". Почувствовать: заслуженную уверенность, а не рекламный напор. Визуально: вордмарк и монограмма на obsidian-фоне, один герой-товар (THE FOUNDER или THE EXECUTIVE) с латунным акцентом, один из двух тэглайнов.</w:t>
      </w:r>
    </w:p>
    <w:p>
      <w:r>
        <w:rPr>
          <w:b/>
        </w:rPr>
        <w:t xml:space="preserve">32. Измеримые KPI успеха. </w:t>
      </w:r>
      <w:r>
        <w:t>Конкретные числовые целевые показатели ещё не зафиксированы — определим совместно с дизайнером и командой после первых недель работы воронки заявок. Ориентируемся на: конверсию посетитель → заявка "REQUEST ACCESS" по героическим позициям, конверсию визита в корпоративный/wholesale запрос, время загрузки на мобильном, долю мобильного трафика в конверсиях (диаспора преимущественно заходит с телефона).</w:t>
      </w:r>
    </w:p>
    <w:p>
      <w:r>
        <w:rPr>
          <w:b/>
        </w:rPr>
        <w:t xml:space="preserve">33. Сроки и ограничения. </w:t>
      </w:r>
      <w:r>
        <w:t>Точный дедлайн проекта — [указать]. Обязательно: mobile-first (и локальная, и диаспорная аудитория активно используют мобильные устройства); шрифтовая поддержка армянского алфавита, кириллицы и латиницы для будущих HY/RU версий; передача исходных файлов (Figma) — условие приёмки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