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b/>
          <w:sz w:val="22"/>
        </w:rPr>
        <w:t xml:space="preserve">KLV-301 Protocol, Version 3.0 (Amendment 2)</w:t>
      </w:r>
    </w:p>
    <w:p>
      <w:r>
        <w:rPr>
          <w:rFonts w:ascii="Calibri" w:hAnsi="Calibri"/>
          <w:sz w:val="22"/>
        </w:rPr>
        <w:t xml:space="preserve">Ardent Bay Therapeutics · KLV-301 · 2026-09-14</w:t>
      </w:r>
    </w:p>
    <w:p>
      <w:r>
        <w:rPr>
          <w:rFonts w:ascii="Calibri" w:hAnsi="Calibri"/>
          <w:sz w:val="22"/>
        </w:rPr>
        <w:t xml:space="preserve">Changes from the previous version are marked in this document: deleted text is struck through, new text is bold and underlined.</w:t>
      </w:r>
    </w:p>
    <w:p>
      <w:r>
        <w:rPr>
          <w:rFonts w:ascii="Calibri" w:hAnsi="Calibri"/>
          <w:b/>
          <w:sz w:val="22"/>
        </w:rPr>
        <w:t xml:space="preserve">Inclusion criterion 2: </w:t>
      </w:r>
      <w:r>
        <w:rPr>
          <w:rFonts w:ascii="Calibri" w:hAnsi="Calibri"/>
          <w:sz w:val="22"/>
        </w:rPr>
        <w:t xml:space="preserve">Age </w:t>
      </w:r>
      <w:r>
        <w:rPr>
          <w:rFonts w:ascii="Calibri" w:hAnsi="Calibri"/>
          <w:strike/>
          <w:sz w:val="22"/>
        </w:rPr>
        <w:t xml:space="preserve">18 to 65</w:t>
      </w:r>
      <w:r>
        <w:rPr>
          <w:rFonts w:ascii="Calibri" w:hAnsi="Calibri"/>
          <w:b/>
          <w:u w:val="single"/>
          <w:sz w:val="22"/>
        </w:rPr>
        <w:t xml:space="preserve">18 to 75</w:t>
      </w:r>
      <w:r>
        <w:rPr>
          <w:rFonts w:ascii="Calibri" w:hAnsi="Calibri"/>
          <w:sz w:val="22"/>
        </w:rPr>
        <w:t xml:space="preserve"> years at screening.</w:t>
      </w:r>
    </w:p>
    <w:p>
      <w:r>
        <w:rPr>
          <w:rFonts w:ascii="Calibri" w:hAnsi="Calibri"/>
          <w:b/>
          <w:sz w:val="22"/>
        </w:rPr>
        <w:t xml:space="preserve">Inclusion criterion 4: </w:t>
      </w:r>
      <w:r>
        <w:rPr>
          <w:rFonts w:ascii="Calibri" w:hAnsi="Calibri"/>
          <w:sz w:val="22"/>
        </w:rPr>
        <w:t xml:space="preserve">eGFR of at least </w:t>
      </w:r>
      <w:r>
        <w:rPr>
          <w:rFonts w:ascii="Calibri" w:hAnsi="Calibri"/>
          <w:strike/>
          <w:sz w:val="22"/>
        </w:rPr>
        <w:t xml:space="preserve">60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45</w:t>
      </w:r>
      <w:r>
        <w:rPr>
          <w:rFonts w:ascii="Calibri" w:hAnsi="Calibri"/>
          <w:sz w:val="22"/>
        </w:rPr>
        <w:t xml:space="preserve"> mL/min/1.73 m2 at screening.</w:t>
      </w:r>
    </w:p>
    <w:p>
      <w:r>
        <w:rPr>
          <w:rFonts w:ascii="Calibri" w:hAnsi="Calibri"/>
          <w:b/>
          <w:sz w:val="22"/>
        </w:rPr>
        <w:t xml:space="preserve">Exclusion criterion 3: </w:t>
      </w:r>
      <w:r>
        <w:rPr>
          <w:rFonts w:ascii="Calibri" w:hAnsi="Calibri"/>
          <w:sz w:val="22"/>
        </w:rPr>
        <w:t xml:space="preserve">Any SGLT2 inhibitor within </w:t>
      </w:r>
      <w:r>
        <w:rPr>
          <w:rFonts w:ascii="Calibri" w:hAnsi="Calibri"/>
          <w:strike/>
          <w:sz w:val="22"/>
        </w:rPr>
        <w:t xml:space="preserve">90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30</w:t>
      </w:r>
      <w:r>
        <w:rPr>
          <w:rFonts w:ascii="Calibri" w:hAnsi="Calibri"/>
          <w:sz w:val="22"/>
        </w:rPr>
        <w:t xml:space="preserve"> days before randomization.</w:t>
      </w:r>
    </w:p>
    <w:p>
      <w:r>
        <w:rPr>
          <w:rFonts w:ascii="Calibri" w:hAnsi="Calibri"/>
          <w:b/>
          <w:sz w:val="22"/>
        </w:rPr>
        <w:t xml:space="preserve">Dosing: </w:t>
      </w:r>
      <w:r>
        <w:rPr>
          <w:rFonts w:ascii="Calibri" w:hAnsi="Calibri"/>
          <w:sz w:val="22"/>
        </w:rPr>
        <w:t xml:space="preserve">KLV-301 10 mg once daily, taken </w:t>
      </w:r>
      <w:r>
        <w:rPr>
          <w:rFonts w:ascii="Calibri" w:hAnsi="Calibri"/>
          <w:strike/>
          <w:sz w:val="22"/>
        </w:rPr>
        <w:t xml:space="preserve">with breakfast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after an overnight fast</w:t>
      </w:r>
      <w:r>
        <w:rPr>
          <w:rFonts w:ascii="Calibri" w:hAnsi="Calibri"/>
          <w:sz w:val="22"/>
        </w:rPr>
        <w:t xml:space="preserve">.</w:t>
      </w:r>
    </w:p>
    <w:p>
      <w:r>
        <w:rPr>
          <w:rFonts w:ascii="Calibri" w:hAnsi="Calibri"/>
          <w:b/>
          <w:sz w:val="22"/>
        </w:rPr>
        <w:t xml:space="preserve">Visit 3 window: </w:t>
      </w:r>
      <w:r>
        <w:rPr>
          <w:rFonts w:ascii="Calibri" w:hAnsi="Calibri"/>
          <w:sz w:val="22"/>
        </w:rPr>
        <w:t xml:space="preserve">Day 28 plus or minus </w:t>
      </w:r>
      <w:r>
        <w:rPr>
          <w:rFonts w:ascii="Calibri" w:hAnsi="Calibri"/>
          <w:strike/>
          <w:sz w:val="22"/>
        </w:rPr>
        <w:t xml:space="preserve">3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7</w:t>
      </w:r>
      <w:r>
        <w:rPr>
          <w:rFonts w:ascii="Calibri" w:hAnsi="Calibri"/>
          <w:sz w:val="22"/>
        </w:rPr>
        <w:t xml:space="preserve"> days.</w:t>
      </w:r>
    </w:p>
    <w:p>
      <w:r>
        <w:rPr>
          <w:rFonts w:ascii="Calibri" w:hAnsi="Calibri"/>
          <w:b/>
          <w:sz w:val="22"/>
        </w:rPr>
        <w:t xml:space="preserve">Primary endpoint: </w:t>
      </w:r>
      <w:r>
        <w:rPr>
          <w:rFonts w:ascii="Calibri" w:hAnsi="Calibri"/>
          <w:sz w:val="22"/>
        </w:rPr>
        <w:t xml:space="preserve">Change in UACR from baseline to week </w:t>
      </w:r>
      <w:r>
        <w:rPr>
          <w:rFonts w:ascii="Calibri" w:hAnsi="Calibri"/>
          <w:strike/>
          <w:sz w:val="22"/>
        </w:rPr>
        <w:t xml:space="preserve">12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u w:val="single"/>
          <w:sz w:val="22"/>
        </w:rPr>
        <w:t xml:space="preserve">24</w:t>
      </w:r>
      <w:r>
        <w:rPr>
          <w:rFonts w:ascii="Calibri" w:hAnsi="Calibri"/>
          <w:sz w:val="22"/>
        </w:rPr>
        <w:t xml:space="preserve">.</w:t>
      </w:r>
    </w:p>
    <w:p>
      <w:r>
        <w:rPr>
          <w:rFonts w:ascii="Calibri" w:hAnsi="Calibri"/>
          <w:b/>
          <w:sz w:val="22"/>
        </w:rPr>
        <w:t xml:space="preserve">Exclusion criterion 5: </w:t>
      </w:r>
      <w:r>
        <w:rPr>
          <w:rFonts w:ascii="Calibri" w:hAnsi="Calibri"/>
          <w:sz w:val="22"/>
        </w:rPr>
        <w:t xml:space="preserve">Systolic blood pressure above 160 mmHg at screening.</w:t>
      </w:r>
    </w:p>
    <w:p>
      <w:r>
        <w:rPr>
          <w:rFonts w:ascii="Calibri" w:hAnsi="Calibri"/>
          <w:b/>
          <w:sz w:val="22"/>
        </w:rPr>
        <w:t xml:space="preserve">Sample size: </w:t>
      </w:r>
      <w:r>
        <w:rPr>
          <w:rFonts w:ascii="Calibri" w:hAnsi="Calibri"/>
          <w:sz w:val="22"/>
        </w:rPr>
        <w:t xml:space="preserve">240 participants, randomized 1:1.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KLV-301 Protocol, Version 3.0 (Amendment 2)</dc:title>
  <dc:creator>Ardent Bay Therapeutics</dc:creator>
  <cp:lastModifiedBy>Ardent Bay Therapeutics</cp:lastModifiedBy>
  <dcterms:created xsi:type="dcterms:W3CDTF">2026-06-01T09:00:00Z</dcterms:created>
  <dcterms:modified xsi:type="dcterms:W3CDTF">2026-09-14T09:00:00Z</dcterms:modified>
</cp:coreProperties>
</file>