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Scanner vendor — pricing call summary (CONFIDENTIAL)</w:t>
      </w:r>
    </w:p>
    <w:p>
      <w:r>
        <w:rPr>
          <w:i/>
          <w:color w:val="666666"/>
        </w:rPr>
        <w:t xml:space="preserve">Exported from Fathom · call on 2026-09-25 · Ana Ruiz with the vendor's account manager</w:t>
      </w:r>
    </w:p>
    <w:p>
      <w:r>
        <w:t xml:space="preserve">Negotiated unit price for the 40 handheld scanners: 412 USD each, down from a 448 USD list price.</w:t>
      </w:r>
    </w:p>
    <w:p>
      <w:r>
        <w:t xml:space="preserve">Volume discount of 8 percent if Halden orders a second batch for the Eastgate warehouse before March 2027.</w:t>
      </w:r>
    </w:p>
    <w:p>
      <w:r>
        <w:t xml:space="preserve">Late-delivery penalty: 1.5 percent of the order value per week of delay, capped at 6 percent.</w:t>
      </w:r>
    </w:p>
    <w:p>
      <w:r>
        <w:t xml:space="preserve">Confidential: the vendor asked that these terms are not shared outside the operations leadership team.</w:t>
      </w:r>
    </w:p>
  </w:body>
</w:document>
</file>