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  <w:sz w:val="22"/>
        </w:rPr>
        <w:t xml:space="preserve">Engagement letter — Brightwater Bakery Co. — monthly bookkeeping and payroll, 2026</w:t>
      </w:r>
    </w:p>
    <w:p>
      <w:r>
        <w:rPr>
          <w:rFonts w:ascii="Calibri" w:hAnsi="Calibri"/>
          <w:sz w:val="22"/>
        </w:rPr>
        <w:t xml:space="preserve">Larkspur &amp; Vance CPAs, 410 SW Alder Street, Portland, Oregon. Prepared by R. Vance, partner, 12 January 2026.</w:t>
      </w:r>
    </w:p>
    <w:p>
      <w:r>
        <w:rPr>
          <w:rFonts w:ascii="Calibri" w:hAnsi="Calibri"/>
          <w:sz w:val="22"/>
        </w:rPr>
        <w:t xml:space="preserve">1. Services. Each month we will reconcile the bank and card accounts, post payables and receivables, run two payroll cycles, and deliver a profit-and-loss statement by the 12th.</w:t>
      </w:r>
    </w:p>
    <w:p>
      <w:commentRangeStart w:id="0"/>
      <w:r>
        <w:rPr>
          <w:rFonts w:ascii="Calibri" w:hAnsi="Calibri"/>
          <w:sz w:val="22"/>
        </w:rPr>
        <w:t xml:space="preserve">2. Monthly fee. Our fee is $1,150 per month for up to 400 transactions; each additional 100 transactions is billed at $95.</w:t>
      </w:r>
      <w:commentRangeEnd w:id="0"/>
      <w:r>
        <w:rPr>
          <w:rStyle w:val="CommentReference"/>
        </w:rPr>
        <w:commentReference w:id="0"/>
      </w:r>
    </w:p>
    <w:p>
      <w:r>
        <w:rPr>
          <w:rFonts w:ascii="Calibri" w:hAnsi="Calibri"/>
          <w:sz w:val="22"/>
        </w:rPr>
        <w:t xml:space="preserve">3. Access to systems. The client will give us read access to its bank feeds and its point-of-sale reports, and administrator access to its payroll provider.</w:t>
      </w:r>
    </w:p>
    <w:p>
      <w:commentRangeStart w:id="1"/>
      <w:r>
        <w:rPr>
          <w:rFonts w:ascii="Calibri" w:hAnsi="Calibri"/>
          <w:sz w:val="22"/>
        </w:rPr>
        <w:t xml:space="preserve">4. Year-end work. Year-end close, 1099 preparation, and the hand-off package for the tax preparer are included in the December fee.</w:t>
      </w:r>
      <w:commentRangeEnd w:id="1"/>
      <w:r>
        <w:rPr>
          <w:rStyle w:val="CommentReference"/>
        </w:rPr>
        <w:commentReference w:id="1"/>
      </w:r>
    </w:p>
    <w:p>
      <w:r>
        <w:rPr>
          <w:rFonts w:ascii="Calibri" w:hAnsi="Calibri"/>
          <w:sz w:val="22"/>
        </w:rPr>
        <w:t xml:space="preserve">5. Confidentiality. We will keep the client's information confidential and will not disclose it except as required by law or with the client's written consent.</w:t>
      </w:r>
    </w:p>
    <w:p>
      <w:commentRangeStart w:id="2"/>
      <w:r>
        <w:rPr>
          <w:rFonts w:ascii="Calibri" w:hAnsi="Calibri"/>
          <w:sz w:val="22"/>
        </w:rPr>
        <w:t xml:space="preserve">6. Fee increases. We may raise the monthly fee once a year, on 30 days' written notice, by no more than 6%.</w:t>
      </w:r>
      <w:commentRangeEnd w:id="2"/>
      <w:r>
        <w:rPr>
          <w:rStyle w:val="CommentReference"/>
        </w:rPr>
        <w:commentReference w:id="2"/>
      </w:r>
    </w:p>
    <w:p>
      <w:r>
        <w:rPr>
          <w:rFonts w:ascii="Calibri" w:hAnsi="Calibri"/>
          <w:sz w:val="22"/>
        </w:rPr>
        <w:t xml:space="preserve">7. Electronic delivery. We will deliver statements and payroll reports through our client portal; paper copies are available at $25 per mailing.</w:t>
      </w:r>
    </w:p>
    <w:p>
      <w:commentRangeStart w:id="3"/>
      <w:r>
        <w:rPr>
          <w:rFonts w:ascii="Calibri" w:hAnsi="Calibri"/>
          <w:sz w:val="22"/>
        </w:rPr>
        <w:t xml:space="preserve">8. Termination. Either party may end this engagement on 30 days' written notice. Work completed before the end date is billed at the monthly rate, pro rata.</w:t>
      </w:r>
      <w:commentRangeEnd w:id="3"/>
      <w:r>
        <w:rPr>
          <w:rStyle w:val="CommentReference"/>
        </w:rPr>
        <w:commentReference w:id="3"/>
      </w:r>
    </w:p>
    <w:p>
      <w:r>
        <w:rPr>
          <w:rFonts w:ascii="Calibri" w:hAnsi="Calibri"/>
          <w:sz w:val="22"/>
        </w:rPr>
        <w:t xml:space="preserve">9. Governing law. This letter is governed by the laws of the State of Oregon.</w:t>
      </w:r>
    </w:p>
    <w:p>
      <w:r>
        <w:rPr>
          <w:rFonts w:ascii="Calibri" w:hAnsi="Calibri"/>
          <w:sz w:val="22"/>
        </w:rPr>
        <w:t xml:space="preserve">Agreed and accepted: Tomas Brightwater, owner. Larkspur &amp; Vance CPAs: R. Vance, partner.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. Vance" w:date="2026-01-12T09:00:00Z" w:initials="RV">
    <w:p>
      <w:r>
        <w:rPr>
          <w:rFonts w:ascii="Calibri" w:hAnsi="Calibri"/>
          <w:sz w:val="22"/>
        </w:rPr>
        <w:t xml:space="preserve">They hit 520 last December; quote the overage up front this time.</w:t>
      </w:r>
    </w:p>
  </w:comment>
  <w:comment w:id="1" w:author="R. Vance" w:date="2026-01-12T09:00:00Z" w:initials="RV">
    <w:p>
      <w:r>
        <w:rPr>
          <w:rFonts w:ascii="Calibri" w:hAnsi="Calibri"/>
          <w:sz w:val="22"/>
        </w:rPr>
        <w:t xml:space="preserve">Client pushed back hard on this. We agreed to bill it separately at $1,800 from 2027.</w:t>
      </w:r>
    </w:p>
  </w:comment>
  <w:comment w:id="2" w:author="R. Vance" w:date="2026-01-12T09:00:00Z" w:initials="RV">
    <w:p>
      <w:r>
        <w:rPr>
          <w:rFonts w:ascii="Calibri" w:hAnsi="Calibri"/>
          <w:sz w:val="22"/>
        </w:rPr>
        <w:t xml:space="preserve">Leave this out for them next year. Owner said it nearly ended the relationship.</w:t>
      </w:r>
    </w:p>
  </w:comment>
  <w:comment w:id="3" w:author="R. Vance" w:date="2026-01-12T09:00:00Z" w:initials="RV">
    <w:p>
      <w:r>
        <w:rPr>
          <w:rFonts w:ascii="Calibri" w:hAnsi="Calibri"/>
          <w:sz w:val="22"/>
        </w:rPr>
        <w:t xml:space="preserve">Keep as is. Their lender asked to see this one.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Engagement letter — Brightwater Bakery Co. — monthly bookkeeping and payroll, 2026</dc:title>
  <dc:creator>Larkspur &amp; Vance CPAs</dc:creator>
  <cp:lastModifiedBy>R. Vance</cp:lastModifiedBy>
  <dcterms:created xsi:type="dcterms:W3CDTF">2026-01-05T09:00:00Z</dcterms:created>
  <dcterms:modified xsi:type="dcterms:W3CDTF">2026-01-12T09:00:00Z</dcterms:modified>
</cp:coreProperties>
</file>