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  <w:sz w:val="22"/>
        </w:rPr>
        <w:t xml:space="preserve">Engagement letter — Fenwick &amp; Lowe Architects — advisory, 2026</w:t>
      </w:r>
    </w:p>
    <w:p>
      <w:r>
        <w:rPr>
          <w:rFonts w:ascii="Calibri" w:hAnsi="Calibri"/>
          <w:sz w:val="22"/>
        </w:rPr>
        <w:t xml:space="preserve">Larkspur &amp; Vance CPAs, 410 SW Alder Street, Portland, Oregon. Prepared by R. Vance, partner, 20 February 2026.</w:t>
      </w:r>
    </w:p>
    <w:p>
      <w:r>
        <w:rPr>
          <w:rFonts w:ascii="Calibri" w:hAnsi="Calibri"/>
          <w:sz w:val="22"/>
        </w:rPr>
        <w:t xml:space="preserve">1. Scope. We will advise the partners on entity structure, partner draws, and the tax effect of admitting a third partner in 2026.</w:t>
      </w:r>
    </w:p>
    <w:p>
      <w:r>
        <w:rPr>
          <w:rFonts w:ascii="Calibri" w:hAnsi="Calibri"/>
          <w:sz w:val="22"/>
        </w:rPr>
        <w:t xml:space="preserve">2. Fees. Advisory work is billed hourly at $310 per hour, with a cap of $9,000 for the year unless the client approves more in writing.</w:t>
      </w:r>
    </w:p>
    <w:p>
      <w:r>
        <w:rPr>
          <w:rFonts w:ascii="Calibri" w:hAnsi="Calibri"/>
          <w:sz w:val="22"/>
        </w:rPr>
        <w:t xml:space="preserve">3. Deliverables. We will deliver a written memo on the admission of the third partner by 30 June 2026 and meet the partners twice to discuss it.</w:t>
      </w:r>
    </w:p>
    <w:p>
      <w:r>
        <w:rPr>
          <w:rFonts w:ascii="Calibri" w:hAnsi="Calibri"/>
          <w:sz w:val="22"/>
        </w:rPr>
        <w:t xml:space="preserve">4. Reliance. Our advice is for the partners of Fenwick &amp; Lowe Architects only and may not be relied on by lenders or other third parties.</w:t>
      </w:r>
    </w:p>
    <w:p>
      <w:r>
        <w:rPr>
          <w:rFonts w:ascii="Calibri" w:hAnsi="Calibri"/>
          <w:sz w:val="22"/>
        </w:rPr>
        <w:t xml:space="preserve">5. Limitation of liability. Our total liability is limited to the fees paid under this letter.</w:t>
      </w:r>
    </w:p>
    <w:p>
      <w:r>
        <w:rPr>
          <w:rFonts w:ascii="Calibri" w:hAnsi="Calibri"/>
          <w:sz w:val="22"/>
        </w:rPr>
        <w:t xml:space="preserve">6. Term. This letter covers advice given during the 2026 calendar year.</w:t>
      </w:r>
    </w:p>
    <w:p>
      <w:r>
        <w:rPr>
          <w:rFonts w:ascii="Calibri" w:hAnsi="Calibri"/>
          <w:sz w:val="22"/>
        </w:rPr>
        <w:t xml:space="preserve">Agreed and accepted: Ines Fenwick and Daniel Lowe, partners. Larkspur &amp; Vance CPAs: R. Vance, partner.</w: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Engagement letter — Fenwick &amp; Lowe Architects — advisory, 2026</dc:title>
  <dc:creator>Larkspur &amp; Vance CPAs</dc:creator>
  <cp:lastModifiedBy>R. Vance</cp:lastModifiedBy>
  <dcterms:created xsi:type="dcterms:W3CDTF">2026-01-05T09:00:00Z</dcterms:created>
  <dcterms:modified xsi:type="dcterms:W3CDTF">2026-02-20T09:00:00Z</dcterms:modified>
</cp:coreProperties>
</file>