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(v0.23)</w:t>
      </w:r>
    </w:p>
    <w:p>
      <w:pPr>
        <w:pStyle w:val="Small"/>
      </w:pPr>
      <w:r>
        <w:t>Ground-up operational specification for image/video analysis, FV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r>
        <w:t>Example: if a fruit is initially observed only as a small red rounded form, the evidence may support strawberry, raspberry, or another candidate rather than a single identity. Surface structures, aggregate-unit structure, a leafy calyx, or other diagnostic components can then be searched for to distinguish candidates. The fruit name is not evidence until the visible component bundle supports it.</w:t>
      </w:r>
    </w:p>
    <w:p>
      <w:pPr/>
      <w:r>
        <w:t>For video, component emergence, disappearance, movement, or interaction may trigger adaptive sampling or behaviour-triggered component tracking when the component materially changes candidature, identity, relationship, or uncertainty. Record the candidature trajectory in TIR; promote only source-supported conclusions into TD.</w:t>
      </w:r>
    </w:p>
    <w:p>
      <w:pPr/>
      <w:r>
        <w:t>Do not use later whole-object recognition to retroactively rewrite the earlier candidature record. The investigation must preserve the forward evidence path that existed when each candidate was considered.</w:t>
      </w:r>
    </w:p>
    <w:p>
      <w:pPr/>
      <w:r>
        <w:t>Candidate verification is component- and relationship-based. A candidate may be promoted when the observed bundle of components and relationships is sufficiently diagnostic for the task. A candidate should be weakened or rejected when expected diagnostic evidence is contradicted, or when a required component should have been visible in the inspected view but is not observed. Mere absence from an uninformative or occluded view is not rejection.</w:t>
      </w:r>
    </w:p>
    <w:p>
      <w:pPr/>
      <w:r>
        <w:t>Search should be targeted by the candidate set. Once a component creates candidature, ask what additional source evidence would distinguish the candidates, then inspect for that evidence. Do not search only for confirming evidence for the first candidate; where feasible, include evidence that could discriminate between or falsify the alternatives.</w:t>
      </w:r>
    </w:p>
    <w:p>
      <w:pPr>
        <w:pStyle w:val="ListBullet"/>
      </w:pPr>
      <w:r>
        <w:t>the evidence supporting the promotion or rejection decision.</w:t>
      </w:r>
    </w:p>
    <w:p>
      <w:pPr>
        <w:pStyle w:val="ListBullet"/>
      </w:pPr>
      <w:r>
        <w:t>whether the candidate was strengthened, weakened, rejected, or remains unresolved;</w:t>
      </w:r>
    </w:p>
    <w:p>
      <w:pPr>
        <w:pStyle w:val="ListBullet"/>
      </w:pPr>
      <w:r>
        <w:t>which of those expected components/relationships were searched for and what was actually observed;</w:t>
      </w:r>
    </w:p>
    <w:p>
      <w:pPr>
        <w:pStyle w:val="ListBullet"/>
      </w:pPr>
      <w:r>
        <w:t>the additional components or spatial/structural relationships expected to distinguish the candidates;</w:t>
      </w:r>
    </w:p>
    <w:p>
      <w:pPr>
        <w:pStyle w:val="ListBullet"/>
      </w:pPr>
      <w:r>
        <w:t>the candidate set supported by that component and current context;</w:t>
      </w:r>
    </w:p>
    <w:p>
      <w:pPr>
        <w:pStyle w:val="ListBullet"/>
      </w:pPr>
      <w:r>
        <w:t>the observed component and its source location;</w:t>
      </w:r>
    </w:p>
    <w:p>
      <w:pPr/>
      <w:r>
        <w:t>For each component-driven candidature, record at minimum:</w:t>
      </w:r>
    </w:p>
    <w:p>
      <w:pPr/>
      <w:r>
        <w:t>A component is evidence, not an identity. A single component may support several candidates. Candidate generation must preserve the alternatives actually supported by the observed component and context; it must not collapse immediately to the most familiar object.</w:t>
      </w:r>
    </w:p>
    <w:p>
      <w:pPr/>
      <w:r>
        <w:t>When an object identity is uncertain, a visible component may be used to generate a bounded set of object candidates. Do not require whole-object recognition before candidature. The operational direction is: component → candidate set → targeted search for expected components/relationships → candidate verification or rejection.</w:t>
      </w:r>
    </w:p>
    <w:p>
      <w:pPr>
        <w:pStyle w:val="Heading2"/>
      </w:pPr>
      <w:r>
        <w:t>5.2.1 Component-driven candidature and verification</w:t>
      </w:r>
    </w:p>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pPr>
        <w:pStyle w:val="ListBullet"/>
      </w:pPr>
      <w:r>
        <w:t>Use visible structural continuity and source evidence.</w:t>
      </w:r>
    </w:p>
    <w:p>
      <w:pPr>
        <w:pStyle w:val="ListBullet"/>
      </w:pPr>
      <w:r>
        <w:t>Do not merge merely because two candidates belong to the same category.</w:t>
      </w:r>
    </w:p>
    <w:p>
      <w:pPr>
        <w:pStyle w:val="ListBullet"/>
      </w:pPr>
      <w:r>
        <w:t>Do not split merely because appearance changes.</w:t>
      </w:r>
    </w:p>
    <w:p>
      <w:pPr>
        <w:pStyle w:val="ListBullet"/>
      </w:pPr>
      <w:r>
        <w:t>If continuity cannot be established, retain separate candidates or unresolved identity as appropriate.</w:t>
      </w:r>
    </w:p>
    <w:p>
      <w:pPr>
        <w:pStyle w:val="ListBullet"/>
      </w:pPr>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If a transcript claim identifies a potential gap in the current TIR/TD representation, use its temporal location as an adaptive sampling target, subject to the current transcript assessment and timing/context information. Acquire the additional source observation and update TIR. Promote a resulting statement into TD only when the retained source evidence supports it. If the relationship between the audio commentary and the visual scene remains unresolved, preserve the uncertainty rather than deciding that the commentary is false, satirical, or otherwise untrustworthy without evidence.</w:t>
      </w:r>
    </w:p>
    <w:p>
      <w:pPr>
        <w:pStyle w:val="Heading2"/>
      </w:pPr>
      <w:r>
        <w:t>A small number of transcript errors or apparent mismatches does not by itself invalidate the transcript as a useful sampling signal. The investigation should record the discrepancy, continue testing the channel, and use transcript claims as candidate sampling cues while their support is being established.</w:t>
      </w:r>
    </w:p>
    <w:p>
      <w:pPr>
        <w:pStyle w:val="Heading2"/>
      </w:pPr>
      <w:r>
        <w:t>The temporary TIR must independently assess the transcript against the source audio and the visual source evidence. Track the audio/transcript channel cumulatively rather than using a binary keep/discard decision. At minimum distinguish: transcription fidelity (whether the transcript accurately represents the audio); visual/cross-modal support (whether a narrated claim corresponds to visual evidence); unresolved or ambiguous content; and timing/context mismatch where audio-supported commentary does not correspond scene-by-scene with the current visual interval.</w:t>
      </w:r>
    </w:p>
    <w:p>
      <w:pPr>
        <w:pStyle w:val="Heading2"/>
      </w:pPr>
      <w:r>
        <w:t>Use the transcript during temporal investigation as an additional cue for adaptive sampling. A transcript segment may identify a time or interval that deserves visual inspection, including an event, action, relationship, or other claim that was not captured by the initial temporal observations. The claim does not need to be visually supported yet; identifying a potential gap is itself a reason to acquire the relevant source observation.</w:t>
      </w:r>
    </w:p>
    <w:p>
      <w:pPr>
        <w:pStyle w:val="Heading2"/>
      </w:pPr>
      <w:r>
        <w:t>When audio is intentionally included, generate a timestamped transcript before the initial temporary TIR/TD temporal investigation. The transcript is a provisional analytical variable, not a source-of-truth record and not a substitute for listening to the source audio.</w:t>
      </w:r>
    </w:p>
    <w:p>
      <w:pPr>
        <w:pStyle w:val="Heading2"/>
      </w:pPr>
      <w:r>
        <w:t>6.1.1 Audio transcript as a provisional temporal cue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pStyle w:val="Heading2"/>
      </w:pPr>
      <w:r>
        <w:t>When audio is included, packet validation must verify that the audio file and transcript are present, source-aligned, and mutually traceable, and that the temporal investigation records the provisional transcript assessment and any material discrepancies.</w:t>
      </w:r>
    </w:p>
    <w:p>
      <w:pPr>
        <w:pStyle w:val="Heading2"/>
      </w:pPr>
      <w:r>
        <w:t>AUDIO_COMPANION.txt may continue to provide human-readable audio notes, but it does not replace the audio file or transcript.json when a transcript is intentionally included.</w:t>
      </w:r>
    </w:p>
    <w:p>
      <w:pPr>
        <w:pStyle w:val="Heading2"/>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pStyle w:val="Heading2"/>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pStyle w:val="Heading2"/>
      </w:pPr>
      <w:r>
        <w:t>audio/
    source.&lt;original-extension&gt;
    transcript.json</w:t>
      </w:r>
    </w:p>
    <w:p>
      <w:pPr>
        <w:pStyle w:val="Heading2"/>
      </w:pPr>
      <w:r>
        <w:t>Use an optional packet-level audio/ directory:</w:t>
      </w:r>
    </w:p>
    <w:p>
      <w:pPr>
        <w:pStyle w:val="Heading2"/>
      </w:pPr>
      <w:r>
        <w:t>If the provisional transcript identifies a temporal location or claim not adequately represented in the current TIR/TD, use it to trigger additional sampling at the relevant location, even when the claim has not yet been visually supported. Update TIR with the new evidence and promote the result into TD only when the source supports it.</w:t>
      </w:r>
    </w:p>
    <w:p>
      <w:pPr>
        <w:pStyle w:val="Heading2"/>
      </w:pPr>
      <w:r>
        <w:t>A commentary segment may be accurate while referring to an earlier, later, off-screen, or otherwise different scene state. Scene-by-scene visual disagreement must therefore be recorded as a timing/context discrepancy unless the source evidence establishes that the commentary is false. Do not infer satire, fabrication, or speaker intent merely from a mismatch.</w:t>
      </w:r>
    </w:p>
    <w:p>
      <w:pPr>
        <w:pStyle w:val="Heading2"/>
      </w:pPr>
      <w:r>
        <w:t>The temporal investigation must test the transcript against the source audio and the visual evidence. TIR should maintain cumulative assessment of at least two distinct properties: transcription fidelity (whether the transcript represents the audio accurately) and cross-modal support (whether narrated claims correspond to visual evidence), alongside unresolved/ambiguous content and timing/context mismatches. This assessment is not a binary transcript-valid/invalid gate: isolated transcription or interpretation errors do not by themselves invalidate an otherwise useful audio channel.</w:t>
      </w:r>
    </w:p>
    <w:p>
      <w:pPr>
        <w:pStyle w:val="Heading2"/>
      </w:pPr>
      <w:r>
        <w:t>Generate the transcript before the initial temporary temporal investigation and retain it as a provisional analysis variable. It may be used to guide adaptive temporal sampling, including by identifying potential gaps before those claims are independently verified, but it must not be promoted directly into TD merely because the transcript contains a claim.</w:t>
      </w:r>
    </w:p>
    <w:p>
      <w:pPr>
        <w:pStyle w:val="Heading2"/>
      </w:pPr>
      <w:r>
        <w:t>When audio is intentionally included in a video packet, preserve the audio file and its transcript together as source-derived evidence. The transcript is an interpretation/extraction of the audio; it is not a substitute for the audio evidence.</w:t>
      </w:r>
    </w:p>
    <w:p>
      <w:pPr>
        <w:pStyle w:val="Heading2"/>
      </w:pPr>
      <w:r>
        <w:t>8.6 Audio evidence and transcript</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r>
        <w:t>If an explicit task objective is supplied by the experiment, it may alter sampling priority. The task objective is an external analysis instruction, not source evidence. It may specify what to track or investigate, but it must not supply identities, events, motivations, or missing temporal facts. Goal-directed sampling and evidence acquisition remain separate.</w:t>
      </w:r>
    </w:p>
    <w:p>
      <w:r>
        <w:t>CP, EY, and change-generator identity serve different functions: SCP/CCP control where attention is directed; EY records what evidence is actually being produced; change_generator_obj_ids records the supported source relationship responsible for propagation. They must not be collapsed into one score.</w:t>
      </w:r>
    </w:p>
    <w:p>
      <w:r>
        <w:t>Incongruity may be recorded when an initially low expected change state produces unexpectedly meaningful evidence. Operationally, this is an expectation/observation mismatch that warrants additional investigation; it is not an object identity and must not be used to manufacture one.</w:t>
      </w:r>
    </w:p>
    <w:p>
      <w:r>
        <w:t>EY should describe what meaningful evidence the object or region is producing now relative to its prior observations. It may contain movement, boundary change, displacement, interaction, emergence, disappearance, or other source-grounded evidence. EY does not itself identify the cause.</w:t>
      </w:r>
    </w:p>
    <w:p>
      <w:r>
        <w:t>EY = { current: &lt;current evidence/state&gt;, frameid: &lt;source frame&gt;, previous: [&lt;earlier evidence records&gt;] }</w:t>
      </w:r>
    </w:p>
    <w:p>
      <w:r>
        <w:t>Evidence Yield (EY) is a temporal evidence record, not a scalar importance score. For an object or region, represent EY as a current observation linked to its source frame and a history of previous observations. Minimum conceptual structure:</w:t>
      </w:r>
    </w:p>
    <w:p>
      <w:r>
        <w:t>When a change propagates through multiple objects, the directly affected object may become a subsequent change generator. Preserve the observed propagation chain where evidence supports it, for example: generator A → affected object B → subsequent generator B → affected object C. Do not invent a complete causal graph when only part of the chain is observable.</w:t>
      </w:r>
    </w:p>
    <w:p>
      <w:r>
        <w:t>For propagation events, TIR should record change_generator_obj_ids: the persistent object IDs that source-grounded evidence identifies as generating or transmitting the current perturbation. The field identifies an evidence relationship; it is not inferred merely because an object has high CCP.</w:t>
      </w:r>
    </w:p>
    <w:p>
      <w:r>
        <w:t>Current Change Propensity (CCP) is the present change-priority state after incorporating current observations, interactions, and propagation. CCP may rise or fall as the scene evolves. An object's CCP may change substantially while its SCP remains unchanged.</w:t>
      </w:r>
    </w:p>
    <w:p>
      <w:r>
        <w:t>Static Change Propensity (SCP) is the baseline propensity assigned to an object from its observable or explicitly supplied characteristics before the current event develops. SCP is persistent during the analysis unless the experiment explicitly defines a recalibration procedure. A low SCP object is not discarded; lazy scanning remains responsible for the rest of the scene.</w:t>
      </w:r>
    </w:p>
    <w:p>
      <w:r>
        <w:t>Adaptive temporal sampling may use Change Propensity (CP) as an attention-prior mechanism. CP is not a source fact and must not be treated as an importance score or as observed change. Its purpose is to provide a shortcut for deciding what to look at first when attention is limited.</w:t>
      </w:r>
    </w:p>
    <w:p>
      <w:pPr>
        <w:pStyle w:val="Heading2"/>
      </w:pPr>
      <w:r>
        <w:t>32.10.1 Change Propensity, Current Change, and Change Generators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ListBullet"/>
      </w:pPr>
      <w:r>
        <w:t>Any externally supplied task objective and the sampling-priority consequences of that objective, kept separate from source evidence.</w:t>
      </w:r>
    </w:p>
    <w:p>
      <w:pPr>
        <w:pStyle w:val="ListBullet"/>
      </w:pPr>
      <w:r>
        <w:t>Incongruity records where observed evidence departs materially from the current expectation and triggers further investigation.</w:t>
      </w:r>
    </w:p>
    <w:p>
      <w:pPr>
        <w:pStyle w:val="ListBullet"/>
      </w:pPr>
      <w:r>
        <w:t>Evidence Yield (EY) records using current evidence, source frame ID, and previous evidence history.</w:t>
      </w:r>
    </w:p>
    <w:p>
      <w:pPr>
        <w:pStyle w:val="ListBullet"/>
      </w:pPr>
      <w:r>
        <w:t>Change-generator relationships, including change_generator_obj_ids and affected object IDs where supported.</w:t>
      </w:r>
    </w:p>
    <w:p>
      <w:pPr>
        <w:pStyle w:val="ListBullet"/>
      </w:pPr>
      <w:r>
        <w:t>Change Propensity records: static change propensity (SCP) and current change propensity (CCP), with their evidential basis or provisional status.</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 Clarified that transcript claims may identify potential gaps and trigger adaptive sampling before the claims are visually supported.</w:t>
        <w:br/>
        <w:t>• Separated transcription fidelity from cross-modal visual support in cumulative audio/transcript assessment.</w:t>
      </w:r>
    </w:p>
    <w:p>
      <w:pPr/>
      <w:r>
        <w:t>• Added explicit distinction between transcript errors, unresolved content, and commentary that is temporally/contextually displaced from the visual scene.</w:t>
      </w:r>
    </w:p>
    <w:p>
      <w:pPr/>
      <w:r>
        <w:t>• Added cumulative transcript assessment so isolated transcription/interpretation errors do not automatically invalidate the audio channel.</w:t>
      </w:r>
    </w:p>
    <w:p>
      <w:pPr/>
      <w:r>
        <w:t>• Defined the transcript as a sampling cue rather than a source-of-truth record.</w:t>
      </w:r>
    </w:p>
    <w:p>
      <w:pPr/>
      <w:r>
        <w:t>• Defined transcript generation as an early provisional analysis step before the initial temporary TIR/TD temporal investigation.</w:t>
      </w:r>
    </w:p>
    <w:p>
      <w:pPr/>
      <w:r>
        <w:t>Change log — v0.20</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p>
      <w:pPr>
        <w:pStyle w:val="Heading2"/>
      </w:pPr>
      <w:r>
        <w:t>Change log — v0.22</w:t>
      </w:r>
    </w:p>
    <w:p>
      <w:pPr>
        <w:pStyle w:val="ListBullet"/>
      </w:pPr>
      <w:r>
        <w:t>Added Change Propensity as a temporal-analysis attention prior, separating Static Change Propensity (SCP) from Current Change Propensity (CCP).</w:t>
      </w:r>
    </w:p>
    <w:p>
      <w:pPr>
        <w:pStyle w:val="ListBullet"/>
      </w:pPr>
      <w:r>
        <w:t>Added change_generator_obj_ids and explicit propagation relationships so current change can be traced from a source object through affected objects.</w:t>
      </w:r>
    </w:p>
    <w:p>
      <w:pPr>
        <w:pStyle w:val="ListBullet"/>
      </w:pPr>
      <w:r>
        <w:t>Defined Evidence Yield (EY) as a structured temporal evidence record with current, frameid, and previous history rather than a scalar score.</w:t>
      </w:r>
    </w:p>
    <w:p>
      <w:pPr>
        <w:pStyle w:val="ListBullet"/>
      </w:pPr>
      <w:r>
        <w:t>Added operational incongruity as an expectation/observation mismatch that can trigger further investigation.</w:t>
      </w:r>
    </w:p>
    <w:p>
      <w:pPr>
        <w:pStyle w:val="ListBullet"/>
      </w:pPr>
      <w:r>
        <w:t>Clarified that explicit task objectives may alter sampling priority but are external instructions, not source evidence.</w:t>
      </w:r>
    </w:p>
    <w:p>
      <w:pPr>
        <w:pStyle w:val="ListBullet"/>
      </w:pPr>
      <w:r>
        <w:t>Added the requirement to keep CP, EY, and change-generator relationships distinct.</w:t>
      </w:r>
    </w:p>
    <w:p>
      <w:pPr>
        <w:pStyle w:val="Heading2"/>
      </w:pPr>
      <w:r>
        <w:t>Change log — v0.23</w:t>
      </w:r>
    </w:p>
    <w:p>
      <w:pPr>
        <w:pStyle w:val="ListBullet"/>
      </w:pPr>
      <w:r>
        <w:t>Added component-driven candidature and verification: component → candidate set → targeted search for expected components/relationships → verification or rejection.</w:t>
      </w:r>
    </w:p>
    <w:p>
      <w:pPr>
        <w:pStyle w:val="ListBullet"/>
      </w:pPr>
      <w:r>
        <w:t>Defined component candidature as an evidence-preserving alternative to immediate whole-object recognition.</w:t>
      </w:r>
    </w:p>
    <w:p>
      <w:pPr>
        <w:pStyle w:val="ListBullet"/>
      </w:pPr>
      <w:r>
        <w:t>Added required candidature/verification fields for observed components, candidate alternatives, discriminating components/relationships, search results, and promotion/rejection status.</w:t>
      </w:r>
    </w:p>
    <w:p>
      <w:pPr>
        <w:pStyle w:val="ListBullet"/>
      </w:pPr>
      <w:r>
        <w:t>Clarified that later whole-object recognition must not retroactively rewrite the earlier evidence path.</w:t>
      </w:r>
    </w:p>
    <w:p>
      <w:pPr>
        <w:pStyle w:val="ListBullet"/>
      </w:pPr>
      <w:r>
        <w:t>Connected component emergence and behaviour to adaptive temporal sampling and behaviour-triggered component tracking where the component materially affects identity, relationship, or uncertainty.</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