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(v0.24)</w:t>
      </w:r>
    </w:p>
    <w:p>
      <w:pPr>
        <w:pStyle w:val="Small"/>
      </w:pPr>
      <w:r>
        <w:t>Ground-up operational specification for image/video analysis, FV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r>
        <w:t>FV packet generation produces a structured packet as files conforming to the packet schema. A prose description of packet contents does not satisfy packet generation when the operating environment supports file creation.</w:t>
      </w:r>
    </w:p>
    <w:p>
      <w:pPr/>
      <w:r>
        <w:t>When the operating environment supports file creation and packaging, the packet must be created as its required files and packaged as a ZIP for delivery. The ZIP is the primary deliverable; human-readable explanation is supplementary.</w:t>
      </w:r>
    </w:p>
    <w:p>
      <w:pPr/>
      <w:r>
        <w:t>The same artifact principle applies to downstream FV operations: validation produces a validation report artifact; compilation produces the compiled renderer specification and/or reconstruction artifact available to the environment; and independent audit produces an audit artifact. A chat response describing what those artifacts would contain is not a substitute for creating them.</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r>
        <w:t>Example: if a fruit is initially observed only as a small red rounded form, the evidence may support strawberry, raspberry, or another candidate rather than a single identity. Surface structures, aggregate-unit structure, a leafy calyx, or other diagnostic components can then be searched for to distinguish candidates. The fruit name is not evidence until the visible component bundle supports it.</w:t>
      </w:r>
    </w:p>
    <w:p>
      <w:pPr/>
      <w:r>
        <w:t>For video, component emergence, disappearance, movement, or interaction may trigger adaptive sampling or behaviour-triggered component tracking when the component materially changes candidature, identity, relationship, or uncertainty. Record the candidature trajectory in TIR; promote only source-supported conclusions into TD.</w:t>
      </w:r>
    </w:p>
    <w:p>
      <w:pPr/>
      <w:r>
        <w:t>Do not use later whole-object recognition to retroactively rewrite the earlier candidature record. The investigation must preserve the forward evidence path that existed when each candidate was considered.</w:t>
      </w:r>
    </w:p>
    <w:p>
      <w:pPr/>
      <w:r>
        <w:t>Candidate verification is component- and relationship-based. A candidate may be promoted when the observed bundle of components and relationships is sufficiently diagnostic for the task. A candidate should be weakened or rejected when expected diagnostic evidence is contradicted, or when a required component should have been visible in the inspected view but is not observed. Mere absence from an uninformative or occluded view is not rejection.</w:t>
      </w:r>
    </w:p>
    <w:p>
      <w:pPr/>
      <w:r>
        <w:t>Search should be targeted by the candidate set. Once a component creates candidature, ask what additional source evidence would distinguish the candidates, then inspect for that evidence. Do not search only for confirming evidence for the first candidate; where feasible, include evidence that could discriminate between or falsify the alternatives.</w:t>
      </w:r>
    </w:p>
    <w:p>
      <w:pPr>
        <w:pStyle w:val="ListBullet"/>
      </w:pPr>
      <w:r>
        <w:t>the evidence supporting the promotion or rejection decision.</w:t>
      </w:r>
    </w:p>
    <w:p>
      <w:pPr>
        <w:pStyle w:val="ListBullet"/>
      </w:pPr>
      <w:r>
        <w:t>whether the candidate was strengthened, weakened, rejected, or remains unresolved;</w:t>
      </w:r>
    </w:p>
    <w:p>
      <w:pPr>
        <w:pStyle w:val="ListBullet"/>
      </w:pPr>
      <w:r>
        <w:t>which of those expected components/relationships were searched for and what was actually observed;</w:t>
      </w:r>
    </w:p>
    <w:p>
      <w:pPr>
        <w:pStyle w:val="ListBullet"/>
      </w:pPr>
      <w:r>
        <w:t>the additional components or spatial/structural relationships expected to distinguish the candidates;</w:t>
      </w:r>
    </w:p>
    <w:p>
      <w:pPr>
        <w:pStyle w:val="ListBullet"/>
      </w:pPr>
      <w:r>
        <w:t>the candidate set supported by that component and current context;</w:t>
      </w:r>
    </w:p>
    <w:p>
      <w:pPr>
        <w:pStyle w:val="ListBullet"/>
      </w:pPr>
      <w:r>
        <w:t>the observed component and its source location;</w:t>
      </w:r>
    </w:p>
    <w:p>
      <w:pPr/>
      <w:r>
        <w:t>For each component-driven candidature, record at minimum:</w:t>
      </w:r>
    </w:p>
    <w:p>
      <w:pPr/>
      <w:r>
        <w:t>A component is evidence, not an identity. A single component may support several candidates. Candidate generation must preserve the alternatives actually supported by the observed component and context; it must not collapse immediately to the most familiar object.</w:t>
      </w:r>
    </w:p>
    <w:p>
      <w:pPr/>
      <w:r>
        <w:t>When an object identity is uncertain, a visible component may be used to generate a bounded set of object candidates. Do not require whole-object recognition before candidature. The operational direction is: component → candidate set → targeted search for expected components/relationships → candidate verification or rejection.</w:t>
      </w:r>
    </w:p>
    <w:p>
      <w:pPr>
        <w:pStyle w:val="Heading2"/>
      </w:pPr>
      <w:r>
        <w:t>5.2.1 Component-driven candidature and verification</w:t>
      </w:r>
    </w:p>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r>
        <w:t>Identity resolution begins as a correspondence investigation, not an immediate identity commitment.</w:t>
      </w:r>
    </w:p>
    <w:p>
      <w:r>
        <w:t>Use visible structural continuity and source evidence. Where observations occur across multiple investigated media, maintain a provisional correspondence hypothesis until the evidence supports a stronger identity statement.</w:t>
      </w:r>
    </w:p>
    <w:p>
      <w:r>
        <w:t>For each correspondence investigation, record:</w:t>
      </w:r>
    </w:p>
    <w:p>
      <w:r>
        <w:t>• the observed components supporting the correspondence;</w:t>
      </w:r>
    </w:p>
    <w:p>
      <w:r>
        <w:t>• the quality of each component as identity/correspondence evidence: high, weak, or transient;</w:t>
      </w:r>
    </w:p>
    <w:p>
      <w:r>
        <w:t>• the candidate correspondence(s) supported by the current evidence;</w:t>
      </w:r>
    </w:p>
    <w:p>
      <w:r>
        <w:t>• additional discriminating components or relationships that could distinguish the candidates;</w:t>
      </w:r>
    </w:p>
    <w:p>
      <w:r>
        <w:t>• which expected or discriminating components/relationships were searched for;</w:t>
      </w:r>
    </w:p>
    <w:p>
      <w:r>
        <w:t>• what was actually observed;</w:t>
      </w:r>
    </w:p>
    <w:p>
      <w:r>
        <w:t>• whether the correspondence was strengthened, weakened, rejected, or remains unresolved;</w:t>
      </w:r>
    </w:p>
    <w:p>
      <w:r>
        <w:t>• the evidence supporting that status.</w:t>
      </w:r>
    </w:p>
    <w:p>
      <w:r>
        <w:t>Component quality must be interpreted in context. A high-quality component is relatively distinctive and sufficiently stable to contribute strongly to correspondence; a weak component is observable but common, non-distinctive, or insufficient on its own; a transient component may be useful but depends on temporary pose, expression, clothing, illumination, viewpoint, or other changing state.</w:t>
      </w:r>
    </w:p>
    <w:p>
      <w:r>
        <w:t>Do not merge merely because two candidates belong to the same category or share generic components. Do not split merely because appearance changes.</w:t>
      </w:r>
    </w:p>
    <w:p>
      <w:r>
        <w:t>Do not treat an unobserved expected component as negative evidence unless the inspected view should have exposed it. Occlusion, crop, blur, scale, viewpoint, and other source limitations may make an expected component unobservable.</w:t>
      </w:r>
    </w:p>
    <w:p>
      <w:r>
        <w:t>Useful TIR wording includes:</w:t>
      </w:r>
    </w:p>
    <w:p>
      <w:r>
        <w:t>• “Initial investigation suggests same object based on [component report].”</w:t>
      </w:r>
    </w:p>
    <w:p>
      <w:r>
        <w:t>• “Correspondence remains unresolved; current evidence includes [component report].”</w:t>
      </w:r>
    </w:p>
    <w:p>
      <w:r>
        <w:t>• “If the said object is the same object across multiple investigated media, search for [expected/discriminating component or relationship].”</w:t>
      </w:r>
    </w:p>
    <w:p>
      <w:r>
        <w:t>Do not promote a correspondence hypothesis to a committed persistent identity until the available evidence supports that resolution. If continuity cannot be established, retain separate candidates or unresolved identity as appropriate.</w:t>
      </w:r>
    </w:p>
    <w:p>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r>
        <w:t>If an explicit task objective is supplied by the experiment, it may alter sampling priority. The task objective is an external analysis instruction, not source evidence. It may specify what to track or investigate, but it must not supply identities, events, motivations, or missing temporal facts. Goal-directed sampling and evidence acquisition remain separate.</w:t>
      </w:r>
    </w:p>
    <w:p>
      <w:r>
        <w:t>CP, EY, and change-generator identity serve different functions: SCP/CCP control where attention is directed; EY records what evidence is actually being produced; change_generator_obj_ids records the supported source relationship responsible for propagation. They must not be collapsed into one score.</w:t>
      </w:r>
    </w:p>
    <w:p>
      <w:r>
        <w:t>Incongruity may be recorded when an initially low expected change state produces unexpectedly meaningful evidence. Operationally, this is an expectation/observation mismatch that warrants additional investigation; it is not an object identity and must not be used to manufacture one.</w:t>
      </w:r>
    </w:p>
    <w:p>
      <w:r>
        <w:t>EY should describe what meaningful evidence the object or region is producing now relative to its prior observations. It may contain movement, boundary change, displacement, interaction, emergence, disappearance, or other source-grounded evidence. EY does not itself identify the cause.</w:t>
      </w:r>
    </w:p>
    <w:p>
      <w:r>
        <w:t>EY = { current: &lt;current evidence/state&gt;, frameid: &lt;source frame&gt;, previous: [&lt;earlier evidence records&gt;] }</w:t>
      </w:r>
    </w:p>
    <w:p>
      <w:r>
        <w:t>Evidence Yield (EY) is a temporal evidence record, not a scalar importance score. For an object or region, represent EY as a current observation linked to its source frame and a history of previous observations. Minimum conceptual structure:</w:t>
      </w:r>
    </w:p>
    <w:p>
      <w:r>
        <w:t>When a change propagates through multiple objects, the directly affected object may become a subsequent change generator. Preserve the observed propagation chain where evidence supports it, for example: generator A → affected object B → subsequent generator B → affected object C. Do not invent a complete causal graph when only part of the chain is observable.</w:t>
      </w:r>
    </w:p>
    <w:p>
      <w:r>
        <w:t>For propagation events, TIR should record change_generator_obj_ids: the persistent object IDs that source-grounded evidence identifies as generating or transmitting the current perturbation. The field identifies an evidence relationship; it is not inferred merely because an object has high CCP.</w:t>
      </w:r>
    </w:p>
    <w:p>
      <w:r>
        <w:t>Current Change Propensity (CCP) is the present change-priority state after incorporating current observations, interactions, and propagation. CCP may rise or fall as the scene evolves. An object's CCP may change substantially while its SCP remains unchanged.</w:t>
      </w:r>
    </w:p>
    <w:p>
      <w:r>
        <w:t>Static Change Propensity (SCP) is the baseline propensity assigned to an object from its observable or explicitly supplied characteristics before the current event develops. SCP is persistent during the analysis unless the experiment explicitly defines a recalibration procedure. A low SCP object is not discarded; lazy scanning remains responsible for the rest of the scene.</w:t>
      </w:r>
    </w:p>
    <w:p>
      <w:r>
        <w:t>Adaptive temporal sampling may use Change Propensity (CP) as an attention-prior mechanism. CP is not a source fact and must not be treated as an importance score or as observed change. Its purpose is to provide a shortcut for deciding what to look at first when attention is limited.</w:t>
      </w:r>
    </w:p>
    <w:p>
      <w:pPr>
        <w:pStyle w:val="Heading2"/>
      </w:pPr>
      <w:r>
        <w:t>32.10.1 Change Propensity, Current Change, and Change Generators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ListBullet"/>
      </w:pPr>
      <w:r>
        <w:t>Any externally supplied task objective and the sampling-priority consequences of that objective, kept separate from source evidence.</w:t>
      </w:r>
    </w:p>
    <w:p>
      <w:pPr>
        <w:pStyle w:val="ListBullet"/>
      </w:pPr>
      <w:r>
        <w:t>Incongruity records where observed evidence departs materially from the current expectation and triggers further investigation.</w:t>
      </w:r>
    </w:p>
    <w:p>
      <w:pPr>
        <w:pStyle w:val="ListBullet"/>
      </w:pPr>
      <w:r>
        <w:t>Evidence Yield (EY) records using current evidence, source frame ID, and previous evidence history.</w:t>
      </w:r>
    </w:p>
    <w:p>
      <w:pPr>
        <w:pStyle w:val="ListBullet"/>
      </w:pPr>
      <w:r>
        <w:t>Change-generator relationships, including change_generator_obj_ids and affected object IDs where supported.</w:t>
      </w:r>
    </w:p>
    <w:p>
      <w:pPr>
        <w:pStyle w:val="ListBullet"/>
      </w:pPr>
      <w:r>
        <w:t>Change Propensity records: static change propensity (SCP) and current change propensity (CCP), with their evidential basis or provisional status.</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p>
      <w:pPr>
        <w:pStyle w:val="Heading2"/>
      </w:pPr>
      <w:r>
        <w:t>Change log — v0.22</w:t>
      </w:r>
    </w:p>
    <w:p>
      <w:pPr>
        <w:pStyle w:val="ListBullet"/>
      </w:pPr>
      <w:r>
        <w:t>Added Change Propensity as a temporal-analysis attention prior, separating Static Change Propensity (SCP) from Current Change Propensity (CCP).</w:t>
      </w:r>
    </w:p>
    <w:p>
      <w:pPr>
        <w:pStyle w:val="ListBullet"/>
      </w:pPr>
      <w:r>
        <w:t>Added change_generator_obj_ids and explicit propagation relationships so current change can be traced from a source object through affected objects.</w:t>
      </w:r>
    </w:p>
    <w:p>
      <w:pPr>
        <w:pStyle w:val="ListBullet"/>
      </w:pPr>
      <w:r>
        <w:t>Defined Evidence Yield (EY) as a structured temporal evidence record with current, frameid, and previous history rather than a scalar score.</w:t>
      </w:r>
    </w:p>
    <w:p>
      <w:pPr>
        <w:pStyle w:val="ListBullet"/>
      </w:pPr>
      <w:r>
        <w:t>Added operational incongruity as an expectation/observation mismatch that can trigger further investigation.</w:t>
      </w:r>
    </w:p>
    <w:p>
      <w:pPr>
        <w:pStyle w:val="ListBullet"/>
      </w:pPr>
      <w:r>
        <w:t>Clarified that explicit task objectives may alter sampling priority but are external instructions, not source evidence.</w:t>
      </w:r>
    </w:p>
    <w:p>
      <w:pPr>
        <w:pStyle w:val="ListBullet"/>
      </w:pPr>
      <w:r>
        <w:t>Added the requirement to keep CP, EY, and change-generator relationships distinct.</w:t>
      </w:r>
    </w:p>
    <w:p>
      <w:pPr>
        <w:pStyle w:val="Heading2"/>
      </w:pPr>
      <w:r>
        <w:t>Change log — v0.23</w:t>
      </w:r>
    </w:p>
    <w:p>
      <w:pPr>
        <w:pStyle w:val="ListBullet"/>
      </w:pPr>
      <w:r>
        <w:t>Added component-driven candidature and verification: component → candidate set → targeted search for expected components/relationships → verification or rejection.</w:t>
      </w:r>
    </w:p>
    <w:p>
      <w:pPr>
        <w:pStyle w:val="ListBullet"/>
      </w:pPr>
      <w:r>
        <w:t>Defined component candidature as an evidence-preserving alternative to immediate whole-object recognition.</w:t>
      </w:r>
    </w:p>
    <w:p>
      <w:pPr>
        <w:pStyle w:val="ListBullet"/>
      </w:pPr>
      <w:r>
        <w:t>Added required candidature/verification fields for observed components, candidate alternatives, discriminating components/relationships, search results, and promotion/rejection status.</w:t>
      </w:r>
    </w:p>
    <w:p>
      <w:pPr>
        <w:pStyle w:val="ListBullet"/>
      </w:pPr>
      <w:r>
        <w:t>Clarified that later whole-object recognition must not retroactively rewrite the earlier evidence path.</w:t>
      </w:r>
    </w:p>
    <w:p>
      <w:pPr>
        <w:pStyle w:val="ListBullet"/>
      </w:pPr>
      <w:r>
        <w:t>Connected component emergence and behaviour to adaptive temporal sampling and behaviour-triggered component tracking where the component materially affects identity, relationship, or uncertainty.</w:t>
      </w:r>
    </w:p>
    <w:p/>
    <w:p>
      <w:r>
        <w:t>### Change log — v0.24</w:t>
      </w:r>
    </w:p>
    <w:p>
      <w:r>
        <w:t>• Added ambiguous TIR correspondence/identity handling across multiple investigated media.</w:t>
      </w:r>
    </w:p>
    <w:p>
      <w:r>
        <w:t>• Added component-quality labels: high, weak, and transient.</w:t>
      </w:r>
    </w:p>
    <w:p>
      <w:r>
        <w:t>• Added provisional correspondence wording and discriminating-component search for identity resolution.</w:t>
      </w:r>
    </w:p>
    <w:p>
      <w:r>
        <w:t>• Clarified that unobserved expected components are not negative evidence when the view is uninformative or occluded.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