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411F6">
      <w:pPr>
        <w:jc w:val="left"/>
        <w:rPr>
          <w:rFonts w:hint="default" w:ascii="Times New Roman" w:hAnsi="Times New Roman" w:cs="Times New Roman"/>
          <w:b/>
          <w:bCs/>
          <w:sz w:val="36"/>
          <w:szCs w:val="44"/>
          <w:lang w:val="en-US" w:eastAsia="zh-CN"/>
        </w:rPr>
      </w:pPr>
      <w:bookmarkStart w:id="0" w:name="_GoBack"/>
      <w:bookmarkEnd w:id="0"/>
      <w:r>
        <w:rPr>
          <w:rFonts w:hint="eastAsia" w:ascii="Times New Roman" w:hAnsi="Times New Roman" w:cs="Times New Roman"/>
          <w:b/>
          <w:bCs/>
          <w:sz w:val="36"/>
          <w:szCs w:val="44"/>
          <w:lang w:val="en-US" w:eastAsia="zh-CN"/>
        </w:rPr>
        <w:t xml:space="preserve"> </w:t>
      </w:r>
    </w:p>
    <w:p w14:paraId="02AF081D">
      <w:pPr>
        <w:jc w:val="center"/>
        <w:rPr>
          <w:rFonts w:hint="default" w:ascii="Times New Roman" w:hAnsi="Times New Roman" w:eastAsia="宋体" w:cs="Times New Roman"/>
          <w:b/>
          <w:bCs/>
          <w:sz w:val="36"/>
          <w:szCs w:val="44"/>
          <w:lang w:val="en-US" w:eastAsia="zh-CN"/>
        </w:rPr>
      </w:pPr>
      <w:r>
        <w:rPr>
          <w:rFonts w:hint="default" w:ascii="Times New Roman" w:hAnsi="Times New Roman" w:eastAsia="宋体" w:cs="Times New Roman"/>
          <w:b/>
          <w:bCs/>
          <w:sz w:val="36"/>
          <w:szCs w:val="44"/>
          <w:lang w:eastAsia="zh-CN"/>
        </w:rPr>
        <w:t>202</w:t>
      </w:r>
      <w:r>
        <w:rPr>
          <w:rFonts w:hint="eastAsia" w:ascii="Times New Roman" w:hAnsi="Times New Roman" w:eastAsia="宋体" w:cs="Times New Roman"/>
          <w:b/>
          <w:bCs/>
          <w:sz w:val="36"/>
          <w:szCs w:val="44"/>
          <w:lang w:val="en-US" w:eastAsia="zh-CN"/>
        </w:rPr>
        <w:t>5</w:t>
      </w:r>
      <w:r>
        <w:rPr>
          <w:rFonts w:hint="default" w:ascii="Times New Roman" w:hAnsi="Times New Roman" w:eastAsia="宋体" w:cs="Times New Roman"/>
          <w:b/>
          <w:bCs/>
          <w:sz w:val="36"/>
          <w:szCs w:val="44"/>
          <w:lang w:eastAsia="zh-CN"/>
        </w:rPr>
        <w:t>年度</w:t>
      </w:r>
      <w:r>
        <w:rPr>
          <w:rFonts w:hint="eastAsia" w:ascii="Times New Roman" w:hAnsi="Times New Roman" w:eastAsia="宋体" w:cs="Times New Roman"/>
          <w:b/>
          <w:bCs/>
          <w:sz w:val="36"/>
          <w:szCs w:val="44"/>
          <w:lang w:val="en-US" w:eastAsia="zh-CN"/>
        </w:rPr>
        <w:t>武汉市社科联课题</w:t>
      </w:r>
    </w:p>
    <w:p w14:paraId="7FBCA32E">
      <w:pPr>
        <w:jc w:val="center"/>
        <w:rPr>
          <w:rFonts w:hint="default" w:ascii="Times New Roman" w:hAnsi="Times New Roman" w:eastAsia="宋体" w:cs="Times New Roman"/>
          <w:b/>
          <w:bCs/>
          <w:sz w:val="32"/>
          <w:szCs w:val="40"/>
          <w:lang w:eastAsia="zh-CN"/>
        </w:rPr>
      </w:pPr>
      <w:r>
        <w:rPr>
          <w:rFonts w:hint="default" w:ascii="Times New Roman" w:hAnsi="Times New Roman" w:eastAsia="宋体" w:cs="Times New Roman"/>
          <w:b/>
          <w:bCs/>
          <w:sz w:val="32"/>
          <w:szCs w:val="40"/>
          <w:lang w:eastAsia="zh-CN"/>
        </w:rPr>
        <w:t>《高校共享道路的交通冲突机理与安全引导策略研究》</w:t>
      </w:r>
    </w:p>
    <w:p w14:paraId="1186F170">
      <w:pPr>
        <w:jc w:val="center"/>
        <w:rPr>
          <w:rFonts w:hint="eastAsia"/>
          <w:lang w:eastAsia="zh-CN"/>
        </w:rPr>
      </w:pPr>
    </w:p>
    <w:p w14:paraId="44CBAEE5">
      <w:pPr>
        <w:jc w:val="center"/>
        <w:rPr>
          <w:rFonts w:hint="eastAsia"/>
          <w:lang w:eastAsia="zh-CN"/>
        </w:rPr>
      </w:pPr>
    </w:p>
    <w:p w14:paraId="0881B7AD">
      <w:pPr>
        <w:jc w:val="center"/>
        <w:rPr>
          <w:rFonts w:hint="eastAsia"/>
          <w:lang w:eastAsia="zh-CN"/>
        </w:rPr>
      </w:pPr>
    </w:p>
    <w:p w14:paraId="7C3868A9">
      <w:pPr>
        <w:jc w:val="center"/>
        <w:rPr>
          <w:rFonts w:hint="eastAsia"/>
          <w:lang w:eastAsia="zh-CN"/>
        </w:rPr>
      </w:pPr>
    </w:p>
    <w:p w14:paraId="6373EA8A">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课</w:t>
      </w:r>
    </w:p>
    <w:p w14:paraId="55D76C4B">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题</w:t>
      </w:r>
    </w:p>
    <w:p w14:paraId="7E2FCB48">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研</w:t>
      </w:r>
    </w:p>
    <w:p w14:paraId="332466E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究</w:t>
      </w:r>
    </w:p>
    <w:p w14:paraId="281E6949">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报</w:t>
      </w:r>
    </w:p>
    <w:p w14:paraId="778435CE">
      <w:pPr>
        <w:jc w:val="center"/>
        <w:rPr>
          <w:rFonts w:hint="eastAsia" w:ascii="黑体" w:hAnsi="黑体" w:eastAsia="黑体" w:cs="黑体"/>
          <w:sz w:val="72"/>
          <w:szCs w:val="144"/>
          <w:lang w:val="en-US" w:eastAsia="zh-CN"/>
        </w:rPr>
      </w:pPr>
      <w:r>
        <w:rPr>
          <w:rFonts w:hint="eastAsia" w:ascii="黑体" w:hAnsi="黑体" w:eastAsia="黑体" w:cs="黑体"/>
          <w:sz w:val="72"/>
          <w:szCs w:val="144"/>
          <w:lang w:val="en-US" w:eastAsia="zh-CN"/>
        </w:rPr>
        <w:t>告</w:t>
      </w:r>
    </w:p>
    <w:p w14:paraId="37592844">
      <w:pPr>
        <w:jc w:val="center"/>
        <w:rPr>
          <w:rFonts w:hint="eastAsia"/>
          <w:lang w:val="en-US" w:eastAsia="zh-CN"/>
        </w:rPr>
      </w:pPr>
    </w:p>
    <w:p w14:paraId="6BB9B707">
      <w:pPr>
        <w:jc w:val="center"/>
        <w:rPr>
          <w:rFonts w:hint="eastAsia"/>
          <w:lang w:val="en-US" w:eastAsia="zh-CN"/>
        </w:rPr>
      </w:pPr>
    </w:p>
    <w:p w14:paraId="1990756D">
      <w:pPr>
        <w:jc w:val="center"/>
        <w:rPr>
          <w:rFonts w:hint="eastAsia"/>
          <w:lang w:val="en-US" w:eastAsia="zh-CN"/>
        </w:rPr>
      </w:pPr>
    </w:p>
    <w:p w14:paraId="64C69474">
      <w:pPr>
        <w:jc w:val="center"/>
        <w:rPr>
          <w:rFonts w:hint="eastAsia"/>
          <w:lang w:val="en-US" w:eastAsia="zh-CN"/>
        </w:rPr>
      </w:pPr>
    </w:p>
    <w:p w14:paraId="0E625B0A">
      <w:pPr>
        <w:jc w:val="center"/>
        <w:rPr>
          <w:rFonts w:hint="eastAsia"/>
          <w:lang w:val="en-US" w:eastAsia="zh-CN"/>
        </w:rPr>
      </w:pPr>
    </w:p>
    <w:p w14:paraId="372E047D">
      <w:pPr>
        <w:jc w:val="both"/>
        <w:rPr>
          <w:rFonts w:hint="eastAsia" w:ascii="楷体" w:hAnsi="楷体" w:eastAsia="楷体" w:cs="楷体"/>
          <w:sz w:val="32"/>
          <w:szCs w:val="40"/>
          <w:lang w:val="en-US" w:eastAsia="zh-CN"/>
        </w:rPr>
      </w:pPr>
    </w:p>
    <w:p w14:paraId="2C4F44F4">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课题负责人：张萌</w:t>
      </w:r>
    </w:p>
    <w:p w14:paraId="3F551B29">
      <w:pPr>
        <w:jc w:val="center"/>
        <w:rPr>
          <w:rFonts w:hint="eastAsia"/>
          <w:lang w:val="en-US" w:eastAsia="zh-CN"/>
        </w:rPr>
      </w:pPr>
      <w:r>
        <w:rPr>
          <w:rFonts w:hint="eastAsia" w:ascii="楷体" w:hAnsi="楷体" w:eastAsia="楷体" w:cs="楷体"/>
          <w:sz w:val="32"/>
          <w:szCs w:val="40"/>
          <w:lang w:val="en-US" w:eastAsia="zh-CN"/>
        </w:rPr>
        <w:t>申报单位：湖北工业大学</w:t>
      </w:r>
    </w:p>
    <w:p w14:paraId="512015A7">
      <w:pPr>
        <w:jc w:val="center"/>
        <w:rPr>
          <w:rFonts w:hint="eastAsia" w:ascii="楷体" w:hAnsi="楷体" w:eastAsia="楷体" w:cs="楷体"/>
          <w:sz w:val="32"/>
          <w:szCs w:val="40"/>
          <w:lang w:val="en-US" w:eastAsia="zh-CN"/>
        </w:rPr>
      </w:pPr>
      <w:r>
        <w:rPr>
          <w:rFonts w:hint="eastAsia" w:ascii="楷体" w:hAnsi="楷体" w:eastAsia="楷体" w:cs="楷体"/>
          <w:sz w:val="32"/>
          <w:szCs w:val="40"/>
          <w:lang w:val="en-US" w:eastAsia="zh-CN"/>
        </w:rPr>
        <w:t>2025年11月15日</w:t>
      </w:r>
    </w:p>
    <w:p w14:paraId="3CC265D4">
      <w:pPr>
        <w:rPr>
          <w:rFonts w:hint="eastAsia"/>
          <w:b/>
          <w:bCs/>
          <w:sz w:val="22"/>
          <w:szCs w:val="28"/>
          <w:lang w:val="en-US" w:eastAsia="zh-CN"/>
        </w:rPr>
      </w:pPr>
    </w:p>
    <w:p w14:paraId="2E6CF41B">
      <w:pPr>
        <w:pStyle w:val="2"/>
        <w:spacing w:before="100" w:after="480" w:line="400" w:lineRule="exact"/>
        <w:rPr>
          <w:rFonts w:hint="default" w:ascii="黑体" w:hAnsi="黑体" w:eastAsia="黑体"/>
          <w:b w:val="0"/>
          <w:bCs w:val="0"/>
          <w:sz w:val="30"/>
          <w:szCs w:val="30"/>
          <w:lang w:val="en-US" w:eastAsia="zh-CN"/>
        </w:rPr>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摘要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高校共享道路是行人与骑行者在同一空间内混合通行的典型场所。此类空间中的交通冲突，既来自路权的物理竞争，也来自双方在安全认知上的系统性差异。本课题以湖北工业大学主校区为实证对象，遵循“特征识别—模型构建—需求识别—策略生成”的研究路径，对高校共享道路的交通冲突机理与安全引导策略展开系统研究，并据此开发相应的视觉引导系统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交通冲突特征识别方面，本研究在校园内布设12个观测点位，历时一个月采集视频数据，采用计算机视觉与人工标注相结合的方式提取冲突事件，并依据校园慢行交通情境对碰撞时间（TTC）阈值进行修正，共识别有效冲突事件294起。研究发现，冲突在时空维度上呈现明显的集聚特征：五个热点区域承载了51.7%的冲突事件，早高峰时段冲突占比达28.2%；在行为层面，注意力分散类行为与违规运动类行为合计占比69.1%，构成冲突的主要触发因素；在环境层面，道路宽度、标识完整度与视距条件对冲突发生率具有显著影响，相关系数分别为-0.72、-0.58与-0.51。</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行为机理研究方面，本研究整合计划行为理论、合理行为理论与技术接受模型，构建包含8个潜变量、43个观测题项的理论框架，回收有效问卷232份，运用结构方程模型开展验证性因子分析、路径分析与多群组比较。结果表明，行人与骑行者遵循不同的行为决策机理：行人的决策路径为“风险感知→安全态度→行为意图”，模型对行为意图的解释力为52.3%；骑行者的决策路径为“感知易用性→知觉行为控制→行为意图”，模型解释力为44.8%。两类主体在心理机制上的差异，为差异化安全引导策略的制定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认知偏差与需求分析方面，本研究运用AIGC技术生成96个标准化道路场景，构建客观安全指数（OSI）与认知偏差系数（CBC）的量化对照体系，取得870个场景—评分数据点。结果显示，弯道路段的风险被显著低估，平均CBC达32.8%；建筑出入口的风险则被高估，平均CBC为-19.3%；视距条件未进入主观安全感知的显著预测模型，构成主客观认知偏差的重要来源。结合深度访谈与参与式设计工作坊，本研究形成了涵盖五个维度、23项要素的安全引导系统需求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策略生成与验证方面，本研究经Kano模型需求分层与国内外案例策略提取，开发了以冷蓝色骑行区与暖橙色行人区为核心的色彩编码安全引导系统原型，包含地面标识系统与立面动态提示装置两个部分，形成“静态与动态”“持续与即时”的互补关系。评估结果显示，系统可用性量表得分为76.3分，骑行道服务水平提升至B级，行人对避险空间与路径安全性的主观感知得到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的价值在于，将设计学的人本视角与交通工程、行为科学的研究方法相结合，揭示了安全认知偏差作为交通冲突内生驱动机制的作用路径，并将理论发现转化为可实施的视觉引导设计方案，为高校共享道路的安全治理提供了理论与实践两个层面的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关键词：高校共享道路；交通冲突；安全认知偏差；行为决策模型；视觉引导系统；设计干预</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Abstract</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Shared roads on university campuses are typical spaces in which pedestrians and cyclists travel within the same physical corridor. Conflicts in such spaces arise not only from competition for right of way, but also from systematic differences in how the two groups perceive safety. Taking the main campus of Hubei University of Technology as the empirical setting, this study follows a research path of "feature identification - model construction - need identification - strategy generation" to examine the mechanisms underlying traffic conflicts on campus shared roads, and to develop a corresponding visual guidance system prototype.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conflict feature identification, video data were collected over one month at twelve observation points. Conflict events were extracted through a combination of computer vision and manual annotation, and classified using time-to-collision (TTC) thresholds adapted to the low-speed campus context. A total of 294 valid conflict events were identified. Conflicts were strongly clustered in time and space: five hotspots accounted for 51.7% of all events, and the morning peak accounted for 28.2%. At the behavioural level, distraction-related and rule-violating movements together accounted for 69.1% of conflicts. At the environmental level, roadway width, completeness of the signage system and sight distance were significantly associated with conflict frequency, with correlation coefficients of -0.72, -0.58 and -0.51 respectively.</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behavioural mechanism study, the Theory of Planned Behaviour, the Theory of Reasoned Action and the Technology Acceptance Model were integrated into a framework of eight latent variables and forty-three observed items. Based on 232 valid questionnaires, confirmatory factor analysis, path analysis and multi-group comparison were conducted using structural equation modelling. The results reveal two distinct decision mechanisms: pedestrians follow a "risk perception - safety attitude - behavioural intention" path, explaining 52.3% of the variance in intention, whereas cyclists follow a "perceived ease of use - perceived behavioural control - behavioural intention" path, explaining 44.8%.</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the analysis of cognitive bias and design needs, ninety-six standardised road scenarios were generated using AIGC techniques, and a quantitative framework pairing an Objective Safety Index (OSI) with a Cognitive Bias Coefficient (CBC) was established, yielding 870 scenario-rating data points. Risk was significantly underestimated on curved segments (mean CBC 32.8%) and overestimated at building entrances (mean CBC -19.3%). Sight distance did not enter the significant regression model for perceived safety, which represents an important source of the observed bias. Combined with in-depth interviews and participatory design workshops, a requirement list of twenty-three elements across five dimensions was derived.</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For strategy generation and validation, Kano-based requirement stratification and case-based strategy extraction informed a colour-coded guidance system prototype, using cool blue for cycling zones and warm orange for pedestrian zones, and combining a ground-level signage system with a vertical dynamic display device. Evaluation returned a System Usability Scale score of 76.3, an improvement of the cycling level of service to grade B, and improved perceived path safety among pedestrians.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The contribution of this study lies in combining a human-centred design perspective with methods from traffic engineering and behavioural science, in identifying safety-related cognitive bias as an endogenous driver of traffic conflict, and in translating these findings into an implementable visual guidance design, thereby providing both theoretical and practical support for the safety governance of campus shared roads.</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Keywords: campus shared road; traffic conflict; safety cognitive bias; behavioural decision model; visual guidance system; design intervention</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目录</w:t>
      </w:r>
    </w:p>
    <w:p>
      <w:pPr>
        <w:pStyle w:val="4"/>
        <w:jc w:val="both"/>
      </w:pPr>
      <w:r>
        <w:fldChar w:fldCharType="begin"/>
      </w:r>
      <w:r>
        <w:instrText xml:space="preserve"> TOC \o "1-3" \h \z \u </w:instrText>
      </w:r>
      <w:r>
        <w:fldChar w:fldCharType="separate"/>
      </w:r>
      <w:r>
        <w:t>目录内容将在打开文档时自动生成；若未显示，请全选后按F9更新域。</w:t>
      </w:r>
      <w:r>
        <w:fldChar w:fldCharType="end"/>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图目录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  本课题技术路线图</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图2  校园共享道路12个观测点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图3  校园共享道路冲突事件较高的5个热点区域</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图4  校园共享道路5个热点区域的具体交通状况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图5  行人行为决策模型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图6  骑行者行为决策模型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图7  基于AI生成的共享道路交通参与者第一人称视角测试场景图（部分）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图8  高校共享道路安全引导系统需求清单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图9  面向高校共享道路主要参与者的安全引导系统设计原型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图10  交叉口部署预警标志设计原型</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图11  立面动态提示装置设计原型</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表目录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表7  校园共享道路观测点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表8  面向交通冲突者的高校共享道路交通环境特征要素调研问卷内容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表9  行人与骑行者在校园共享道路中的TTC分级</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表10  冲突事件空间分布统计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表11  冲突行为模式统计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表12  校园共享道路交通环境与冲突行为的相关性统计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表13  高校共享道路交通安全行为要素表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表14  高校共享道路交通安全行为研究要素及其编码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表15  样本人口分布特征</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表16  直接路径系数</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表17  多群组分析路径系数比较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表18  行人群体决定性因素重要性排序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表19  骑行者群体决定性因素重要性排序</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表20  高校共享道路交通环境主观认知指标及其水平</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表21  高校共享道路交通安全客观指标表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表22  CBC认知偏差系数表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表23  高校共享道路情境下不同场景类型的认知偏差统计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表24  客观因素对主观安全感知的回归分析结果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表25  面向高校共享道路参与者的安全引导系统需求清单</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表26  基于KANO模型的高校共享道路安全引导系统需求分类统计表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表27  面向高校共享道路主要参与者的14项需求的安全引导策略提取统计</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表28  安全引导设计原则与需求项的映射关系</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表29  三个候选方案的模糊综合评价结果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表30  安全引导系统设计参数规范</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表31  系统可用性量表逐项得分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表32  可用性问题清单与处理结果</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表33  设计方案实施前后的量化评估对比</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表34  面向湖北省高校的共享道路安全改善分层实施建议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缩略语表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4400"/>
        <w:gridCol w:w="26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缩略语</w:t>
            </w:r>
          </w:p>
        </w:tc>
        <w:tc>
          <w:tcPr>
            <w:tcW w:w="4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英文全称</w:t>
            </w:r>
          </w:p>
        </w:tc>
        <w:tc>
          <w:tcPr>
            <w:tcW w:w="2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中文名称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Artificial Intelligence Generated Content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人工智能生成内容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Average Variance Extracted</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平均方差萃取量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Bicycle Level of Service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Cognitive Bias Coefficient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认知偏差系数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Confirmatory Factor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验证性因子分析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CFI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Comparative Fit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比较拟合指数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Composite Reliability</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组合信度</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IPA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Importance-Performance Analysis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重要度—满意度分析</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OSI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Objective Safety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PBC</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Behavioral Control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知觉行为控制</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Ease of Use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感知易用性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Perceived Usefulness</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Path User Comfort Equivalent</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RMSEA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Root Mean Square Error of Approximation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近似误差均方根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SEM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Structural Equation Modeling</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结构方程模型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SRMR</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Standardized Root Mean Square Residual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标准化残差均方根</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System Usability Scale</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系统可用性量表</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TAM</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Technology Acceptance Model</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TLI</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Tucker-Lewis Index</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塔克—刘易斯指数</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TPB</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Planned Behavior</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w:t>
            </w:r>
          </w:p>
        </w:tc>
      </w:tr>
      <w:tr>
        <w:tc>
          <w:tcPr>
            <w:tcW w:w="14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TRA</w:t>
            </w:r>
          </w:p>
        </w:tc>
        <w:tc>
          <w:tcPr>
            <w:tcW w:w="4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Theory of Reasoned Action</w:t>
            </w:r>
          </w:p>
        </w:tc>
        <w:tc>
          <w:tcPr>
            <w:tcW w:w="2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w:t>
            </w:r>
          </w:p>
        </w:tc>
      </w:tr>
      <w:tr>
        <w:tc>
          <w:tcPr>
            <w:tcW w:w="14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TTC</w:t>
            </w:r>
          </w:p>
        </w:tc>
        <w:tc>
          <w:tcPr>
            <w:tcW w:w="4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Time to Collision</w:t>
            </w:r>
          </w:p>
        </w:tc>
        <w:tc>
          <w:tcPr>
            <w:tcW w:w="2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w:t>
            </w:r>
          </w:p>
        </w:tc>
      </w:tr>
    </w:tbl>
    <w:p/>
    <w:p w14:paraId="5BB1EDF1">
      <w:pPr>
        <w:pStyle w:val="2"/>
        <w:spacing w:before="100" w:after="480" w:line="400" w:lineRule="exact"/>
        <w:rPr>
          <w:rFonts w:hint="default" w:ascii="楷体" w:hAnsi="楷体" w:eastAsia="楷体" w:cs="楷体"/>
          <w:sz w:val="24"/>
          <w:szCs w:val="32"/>
          <w:lang w:val="en-US" w:eastAsia="zh-CN"/>
        </w:rPr>
      </w:pPr>
      <w:r>
        <w:rPr>
          <w:rFonts w:hint="default" w:ascii="黑体" w:hAnsi="黑体" w:eastAsia="黑体"/>
          <w:b w:val="0"/>
          <w:bCs w:val="0"/>
          <w:sz w:val="30"/>
          <w:szCs w:val="30"/>
          <w:lang w:val="en-US" w:eastAsia="zh-CN"/>
        </w:rPr>
        <w:t>1课题研究背景及意义</w:t>
      </w:r>
    </w:p>
    <w:p w14:paraId="72B83E0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1.1研究背景</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湖北省是我国高等教育大省，其省会武汉作为华中地区核心科教枢纽与长江中游高等教育资源富集地，拥有数量庞大、层次多元的高等院校集群，高校密度与综合办学实力位居全国前列。近年来，高校校园交通模式从汽车主导逐渐转向多模式、慢行交通优先。同时，骑行因其高效便捷的优势而深受大学生青睐，自行车等微出行方式在大学校园迅速普及。但这一转变也带来了新的交通安全挑战：高密度人流与车流混行引发的安全问题日益突出，行人与骑行者日益共享有限的道路空间，使传统为行人设计的基础交通设施面临前所未有的压力。面对这一趋势，我国校园交通安全治理呈现出多层次政策响应机制。《教育强国建设规划纲要（2024-2035年）》将校园安全作为实现新时代教育现代化的重要目标之一</w:t>
      </w:r>
      <w:r>
        <w:rPr>
          <w:rFonts w:hint="default" w:ascii="Times New Roman" w:hAnsi="Times New Roman" w:cs="Times New Roman"/>
          <w:lang w:val="en-US" w:eastAsia="zh-CN"/>
          <w:vertAlign w:val="superscript"/>
        </w:rPr>
        <w:t xml:space="preserve">[1]</w:t>
      </w:r>
      <w:r>
        <w:rPr>
          <w:rFonts w:hint="default" w:ascii="Times New Roman" w:hAnsi="Times New Roman" w:cs="Times New Roman"/>
          <w:lang w:val="en-US" w:eastAsia="zh-CN"/>
        </w:rPr>
        <w:t xml:space="preserve">。此外，《武汉市非机动车管理办法》（2022年）通过量化行为标准（如“最高时速不超过15公里”）和禁止性条款（如“禁止双手脱把、使用手机、佩戴耳机”），实现了从原则性要求到可操作规则的制度具化</w:t>
      </w:r>
      <w:r>
        <w:rPr>
          <w:rFonts w:hint="default" w:ascii="Times New Roman" w:hAnsi="Times New Roman" w:cs="Times New Roman"/>
          <w:lang w:val="en-US" w:eastAsia="zh-CN"/>
          <w:vertAlign w:val="superscript"/>
        </w:rPr>
        <w:t xml:space="preserve">[2]</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政策文本共同构成了校园交通安全治理的制度环境。若将国家、省域与城市三个层面并置考察，既可以看到一条自上而下逐级具化的演进线索，也可以看到一处尚未填补的空白。在国家层面，除《教育强国建设规划纲要（2024—2035年）》外，《中华人民共和国道路交通安全法》确立了非机动车通行的基本规则</w:t>
      </w:r>
      <w:r>
        <w:rPr>
          <w:rFonts w:hint="eastAsia" w:ascii="Times New Roman" w:hAnsi="Times New Roman" w:cs="Times New Roman"/>
          <w:color w:val="000000"/>
          <w:sz w:val="24"/>
          <w:szCs w:val="24"/>
          <w:lang w:val="en-US" w:eastAsia="zh-CN"/>
          <w:vertAlign w:val="superscript"/>
        </w:rPr>
        <w:t xml:space="preserve">[3]</w:t>
      </w:r>
      <w:r>
        <w:rPr>
          <w:rFonts w:hint="eastAsia" w:ascii="Times New Roman" w:hAnsi="Times New Roman" w:cs="Times New Roman"/>
          <w:color w:val="000000"/>
          <w:sz w:val="24"/>
          <w:szCs w:val="24"/>
          <w:lang w:val="en-US" w:eastAsia="zh-CN"/>
        </w:rPr>
        <w:t xml:space="preserve">，《电动自行车安全技术规范》则以强制性国家标准的形式，对最高设计车速、整车质量等关键指标作出限定，从产品端约束了当前校园内最主要骑行工具的性能边界</w:t>
      </w:r>
      <w:r>
        <w:rPr>
          <w:rFonts w:hint="eastAsia" w:ascii="Times New Roman" w:hAnsi="Times New Roman" w:cs="Times New Roman"/>
          <w:color w:val="000000"/>
          <w:sz w:val="24"/>
          <w:szCs w:val="24"/>
          <w:lang w:val="en-US" w:eastAsia="zh-CN"/>
          <w:vertAlign w:val="superscript"/>
        </w:rPr>
        <w:t xml:space="preserve">[4]</w:t>
      </w:r>
      <w:r>
        <w:rPr>
          <w:rFonts w:hint="eastAsia" w:ascii="Times New Roman" w:hAnsi="Times New Roman" w:cs="Times New Roman"/>
          <w:color w:val="000000"/>
          <w:sz w:val="24"/>
          <w:szCs w:val="24"/>
          <w:lang w:val="en-US" w:eastAsia="zh-CN"/>
        </w:rPr>
        <w:t xml:space="preserve">。在省域层面，湖北省围绕教育强省建设与平安校园建设所作出的相关部署，为省内高校的安全治理提供了直接依据。在城市层面，《武汉市非机动车管理办法》所确立的量化行为标准，则将规制精度推进到了具体动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这一自上而下的规制链条存在一处共同的着力点偏差：现有规范大多以“车”和“路”为规制对象，其基本逻辑是限定车辆的性能、规定车辆的行为、划分车辆的路权；而对于行人与骑行者共同使用同一空间、且该空间本身并未作出物理分隔的情形，规范所能提供的指引十分有限。高校共享道路恰恰处在这一空白之中：它既不是机动车道，也不是纯粹的步行区，其路权的实际分配更多依赖使用者之间的临场协商，而非制度的事先规定。这意味着，仅靠加密规则难以从根本上解决问题，还需要从使用者如何感知空间、如何判断风险这一层面寻找答案。</w:t>
      </w:r>
    </w:p>
    <w:p w14:paraId="09C0C395">
      <w:pPr>
        <w:pStyle w:val="4"/>
        <w:rPr>
          <w:rFonts w:hint="default" w:ascii="Times New Roman" w:hAnsi="Times New Roman" w:cs="Times New Roman"/>
          <w:lang w:val="en-US" w:eastAsia="zh-CN"/>
        </w:rPr>
      </w:pPr>
      <w:r>
        <w:rPr>
          <w:rFonts w:hint="default" w:ascii="Times New Roman" w:hAnsi="Times New Roman" w:cs="Times New Roman"/>
          <w:lang w:val="en-US" w:eastAsia="zh-CN"/>
        </w:rPr>
        <w:t>然而，政策规范的完善并未从根本上消解高校共享道路的交通冲突。其深层的问题在于：行人与骑行者之间存在显著的安全感知差异与路权认知分歧，这种认知错位形成了交通冲突的内生驱动机制。其具体表现为：第一，高校共享道路路权竞争引发的路径冲突，即缺乏明确分隔标识的共享空间使步行者与骑行者产生路线混淆，显著增加碰撞风险；第二，交通参与者感知不对称导致的行为冲突，即行人面对骑行者的安全威胁感知明显偏高，但骑行者往往低估其速度对行人的危险性，这种感知偏差催生频繁的近距离冲突和危险交通行为。此类交通冲突不仅直接危及师生人身安全，更通过扰乱校园交通秩序、降低通行效率、削弱骑行的出行优势等途径，对校园交通系统的整体安全性和可持续性构成威胁。因此，解析交通冲突的生成机理并构建精准化安全引导策略，成为高校共享道路治理的重要课题之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现实层面看，湖北省是我国高等教育资源最为富集的省份之一，省内普通高等学校数量与在校生规模均位居全国前列，仅武汉一市的在校大学生规模就长期保持在百万量级。如此密集的高校集群意味着，校园共享道路的安全问题并非个别学校的个案，而是一个具有相当覆盖面的共性议题；相应地，针对这一问题所形成的解决方案，也具备在省域范围内推广的现实基础。</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此同时，校园内部的出行结构正在发生结构性变化。一方面，绿色校园与低碳校园建设推动校园交通由机动车主导转向慢行优先，机动车在校园内的通行与停放受到越来越严格的限制，慢行交通所承担的出行份额持续上升。另一方面，电动自行车与共享单车的普及，使校园慢行交通的速度构成发生了显著改变。传统校园道路系统是按照行人与普通自行车之间的速度关系设计的，两者速度差有限，即便发生接触，后果通常也较为轻微；而电动自行车的运行速度可达普通自行车的两倍以上，其大量进入使原有的速度平衡被打破，但道路的空间尺度与设施配置却大多未作相应调整。这种“速度构成已变、空间供给未变”的错配，是当前校园共享道路冲突频发的结构性原因。</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校园交通治理还有一项区别于城市道路的特征，即治理手段的柔性。高校管理部门并不具有道路交通执法权，其可用的手段主要是宣传教育、志愿劝导与设施改造，难以通过处罚形成有效威慑。这意味着，在城市道路治理中行之有效的“规则加执法”路径，在校园场景中的适用性有限；相对地，通过环境设计引导行为的路径，则具有更大的施展空间。这一判断，构成了本课题选择以设计干预作为切入点的现实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从学理层面看，共享道路所依托的共享空间理念本身，在高密度场景中的适用性尚存争议</w:t>
      </w:r>
      <w:r>
        <w:rPr>
          <w:rFonts w:hint="eastAsia" w:ascii="Times New Roman" w:hAnsi="Times New Roman" w:cs="Times New Roman"/>
          <w:color w:val="000000"/>
          <w:sz w:val="24"/>
          <w:szCs w:val="24"/>
          <w:lang w:val="en-US" w:eastAsia="zh-CN"/>
          <w:vertAlign w:val="superscript"/>
        </w:rPr>
        <w:t xml:space="preserve">[5-6]</w:t>
      </w:r>
      <w:r>
        <w:rPr>
          <w:rFonts w:hint="eastAsia" w:ascii="Times New Roman" w:hAnsi="Times New Roman" w:cs="Times New Roman"/>
          <w:color w:val="000000"/>
          <w:sz w:val="24"/>
          <w:szCs w:val="24"/>
          <w:lang w:val="en-US" w:eastAsia="zh-CN"/>
        </w:rPr>
        <w:t xml:space="preserve">。该理念主张通过弱化边界、减少管制，促使使用者以协商方式分配路权，其成立依赖于一个前提，即使用者能够较为准确地感知环境的真实风险，并据此调整自身行为。然而，若使用者对风险的判断与客观情况之间存在系统性偏离，这一前提便不再成立，模糊的边界所换来的就不是审慎，而是误判。高校共享道路的使用者以青年学生为主体，其出行具有目的明确、时间紧迫、结伴同行比例高、电子设备使用频繁等特征，上述特征都可能加剧感知与实际之间的偏离。因此，本课题将安全认知偏差作为贯穿全篇的核心线索，既是对既有理论争议的回应，也是针对校园这一特定场景所作出的具体回答。</w:t>
      </w:r>
    </w:p>
    <w:p w14:paraId="290B179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1.2研究意义</w:t>
      </w:r>
    </w:p>
    <w:p w14:paraId="770FCF5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本研究具有重要的理论和实践意义。</w:t>
      </w:r>
    </w:p>
    <w:p w14:paraId="479B83E2">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理论层面，本研究立足于设计学视角，并与交通工程、心理学以及行为科学相融合，弥补了校园交通安全领域内工程措施与人文因素相分离的缺陷，为校园交通安全研究开辟新的视角。当前，校园交通安全相关研究大多聚焦于工程举措或行政管理办法。尽管这些举措在一定程度上提升了个体参与校园共享道路交通行为的规范性，但常常忽略了行为背后的心理认知要素。本课题将引入行为科学视角，着重考察行人和骑行者对交通安全的主观认知与行为意向，从心理动机层面剖析不安全行为的成因。本研究成果将在一定程度上丰富高校共享道路安全管理的理论体系，有助于克服单纯依靠工程和管理手段的局限性。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具体而言，本课题在理论层面的贡献可归纳为三点。其一，将安全认知偏差由方法学上的信度问题，转化为具有实质意义的研究对象，并为其建立可计算的量化指标，使“主观感知与客观风险之间相差多少、在何处相差”成为可测量、可比较的问题。其二，通过多群组结构方程分析，分别刻画行人与骑行者的行为决策机理，说明同一空间中的两类主体并非遵循同一套心理逻辑，从而为差异化干预提供理论依据；这一发现也在一定程度上解释了，为何面向全体使用者的统一化管理措施往往收效有限。其三，将行为科学的解释性框架与设计学的生成性方法相衔接，形成“识别—解释—生成—验证”的完整闭环，为设计干预类研究提供了一种可复用的研究范式。</w:t>
      </w:r>
    </w:p>
    <w:p w14:paraId="42652FBD">
      <w:pPr>
        <w:pStyle w:val="4"/>
        <w:rPr>
          <w:rFonts w:hint="default" w:ascii="Times New Roman" w:hAnsi="Times New Roman" w:cs="Times New Roman"/>
          <w:lang w:val="en-US" w:eastAsia="zh-CN"/>
        </w:rPr>
      </w:pPr>
      <w:r>
        <w:rPr>
          <w:rFonts w:hint="default" w:ascii="Times New Roman" w:hAnsi="Times New Roman" w:cs="Times New Roman"/>
          <w:lang w:val="en-US" w:eastAsia="zh-CN"/>
        </w:rPr>
        <w:t>从实践层面来看，本课题紧密贴合当下校园安全管理的紧迫需求。课题的研究成果将为校园交通规划与管理提供科学支撑，为构建“安全校园”与“绿色校园”提供实践性参考。同时，本课题将基于理论成果生成的视觉设计策略，优化高校共享道路中参与者的交通行为，降低交通冲突概率，增强师生出行的安全感。此外，本研究与国家交通安全与地区可持续发展战略相契合，为高校安全研究领域提供应用推广方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实践层面，本课题的成果具有三个方面的直接用途。其一，冲突热点的识别结果与环境要素的量化关系，可直接用于校园道路改造的优先级排序与设计参数选取，使有限的改造投入能够落在最需要的位置。其二，安全引导系统的设计原型及其配套的设计规范，可作为高校校园导视系统更新的直接参考，其色彩编码、信息层级与布点原则具有跨校迁移的可能。其三，本课题所建立的“观测—建模—测度—设计—验证”工作流程，本身即是一套可供其他高校复用的自评估方法，学校可依此定期检视本校共享道路的安全状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社会层面，本课题的价值体现在与区域发展需求的契合上。湖北省正加快推进高等教育强省建设，校园环境品质既是高校办学条件的组成部分，也是师生日常体验中最为直接的方面之一。平安校园建设近年来持续推进，但其重心多集中于消防、治安与食品安全，校园内部的交通安全尚未获得同等程度的关注，而这恰恰是发生频次最高、影响面最广的一类日常风险。本课题聚焦于此，其成果可为省内高校提供一套成本可控、可分步实施的改善方案，对于提升师生的日常安全感与校园的整体环境品质具有现实意义。</w:t>
      </w:r>
    </w:p>
    <w:p w14:paraId="4DCFD65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159399C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2课题研究现状及目标</w:t>
      </w:r>
    </w:p>
    <w:p w14:paraId="4BC0234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2.1课题研究现状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本章的研究现状述评所依据的文献，通过系统化检索获取，以保证述评范围的完整性与可复核性。检索范围涵盖Web of Science核心合集、Scopus与中国知网三个数据库，检索时间窗设定为2010年1月至2025年9月；对该时间窗之前具有奠基意义的理论文献，则不作年限限制。外文检索式由三组关键词交叉构成：第一组指向研究场所，包括shared space、shared path、shared street与campus；第二组指向研究对象，包括pedestrian、cyclist、e-bike与non-motorized；第三组指向研究议题，包括traffic conflict、safety perception、risk perception、behavioral intention、wayfinding与visual guidance。中文检索式相应采用“共享空间”“共享道路”“校园交通”“人非混行”“交通冲突”“安全感知”“风险认知”“行为意图”“导视系统”等主题词及其组合。检索过程与报告方式参照系统综述的通行规范执行</w:t>
      </w:r>
      <w:r>
        <w:rPr>
          <w:rFonts w:hint="eastAsia" w:ascii="Times New Roman" w:hAnsi="Times New Roman" w:cs="Times New Roman"/>
          <w:color w:val="000000"/>
          <w:sz w:val="24"/>
          <w:szCs w:val="24"/>
          <w:lang w:val="en-US" w:eastAsia="zh-CN"/>
          <w:vertAlign w:val="superscript"/>
        </w:rPr>
        <w:t xml:space="preserve">[7-8]</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文献的纳入与排除依据四项标准。纳入标准为：其一，研究对象涉及行人、骑行者或两者之间的交互；其二，研究场景为混合通行或慢行主导的道路空间；其三，采用可复核的实证方法，或提出明确的理论框架；其四，文献类型为同行评议期刊论文、学位论文或权威机构技术报告。排除标准为：其一，仅涉及机动车之间冲突而不涉及慢行主体的研究；其二，缺乏方法描述的评论性短文与会议摘要；其三，重复发表或数据来源相同的文献；其四，无法获取全文的条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检索与筛选的具体过程如表1所示。初检共获得记录2847条，经跨库去重后余1936条；经题名与摘要初筛排除1502条，余434条进入全文复核；全文复核阶段因不符合纳入标准排除301条，因无法获取全文排除69条，余64条；再通过对已纳入文献参考文献列表的回溯追踪补入13条奠基性文献，最终纳入77条文献作为本章述评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表1  文献检索与筛选过程统计</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100"/>
        <w:gridCol w:w="3600"/>
        <w:gridCol w:w="1700"/>
        <w:gridCol w:w="2096"/>
      </w:tblGrid>
      <w:tr>
        <w:trPr>
          <w:tblHeader/>
        </w:trPr>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阶段</w:t>
            </w:r>
          </w:p>
        </w:tc>
        <w:tc>
          <w:tcPr>
            <w:tcW w:w="3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具体操作</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排除数</w:t>
            </w:r>
          </w:p>
        </w:tc>
        <w:tc>
          <w:tcPr>
            <w:tcW w:w="2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剩余数</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Web of Science核心合集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1062</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Scopus</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1148</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中国知网</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637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检索</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初检记录合计</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2847</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去重</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剔除跨库重复记录</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911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1936</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初筛</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依题名与摘要筛选</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1502</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全文复核：不符合纳入标准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301</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133</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复核</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全文复核：无法获取全文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69</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r>
      <w:tr>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补充</w:t>
            </w:r>
          </w:p>
        </w:tc>
        <w:tc>
          <w:tcPr>
            <w:tcW w:w="3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参考文献回溯追踪补入</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2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r>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c>
          <w:tcPr>
            <w:tcW w:w="3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最终纳入本章述评的文献</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2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77</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依据上述结果，本章从共享道路交通冲突的识别方法、面向校园交通环境特征的主观认知评价、共享道路参与者的行为特征与冲突形成机理，以及高校共享道路的安全引导策略四个方面展开述评。</w:t>
      </w:r>
    </w:p>
    <w:p w14:paraId="3B88E0AD">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2.1.1</w:t>
      </w:r>
      <w:r>
        <w:rPr>
          <w:rFonts w:hint="default" w:ascii="黑体" w:hAnsi="黑体" w:eastAsia="黑体"/>
          <w:b w:val="0"/>
          <w:bCs w:val="0"/>
          <w:sz w:val="28"/>
          <w:szCs w:val="28"/>
          <w:lang w:val="en-US" w:eastAsia="zh-CN"/>
        </w:rPr>
        <w:t>共享道路交通冲突识别方法研究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共享道路的研究，首先需要回到“共享空间”这一设计理念本身。该理念主张通过弱化机动车对道路空间的支配地位、模糊化路面的功能边界、减少显性的交通管制设施，促使不同交通参与者以眼神交流与社会协商的方式协调路权，从而在降低通行速度的同时提升空间的场所品质</w:t>
      </w:r>
      <w:r>
        <w:rPr>
          <w:rFonts w:hint="eastAsia" w:ascii="Times New Roman" w:hAnsi="Times New Roman" w:cs="Times New Roman"/>
          <w:color w:val="000000"/>
          <w:sz w:val="24"/>
          <w:szCs w:val="24"/>
          <w:lang w:val="en-US" w:eastAsia="zh-CN"/>
          <w:vertAlign w:val="superscript"/>
        </w:rPr>
        <w:t xml:space="preserve">[5]</w:t>
      </w:r>
      <w:r>
        <w:rPr>
          <w:rFonts w:hint="eastAsia" w:ascii="Times New Roman" w:hAnsi="Times New Roman" w:cs="Times New Roman"/>
          <w:color w:val="000000"/>
          <w:sz w:val="24"/>
          <w:szCs w:val="24"/>
          <w:lang w:val="en-US" w:eastAsia="zh-CN"/>
        </w:rPr>
        <w:t xml:space="preserve">。有研究对这一理念在城市环境中的演进脉络进行了系统梳理，指出共享空间并非单一的设计手法，而是一个由“完全共享”到“部分分隔”的连续谱系，其具体形态取决于交通量、速度构成与使用者结构等条件</w:t>
      </w:r>
      <w:r>
        <w:rPr>
          <w:rFonts w:hint="eastAsia" w:ascii="Times New Roman" w:hAnsi="Times New Roman" w:cs="Times New Roman"/>
          <w:color w:val="000000"/>
          <w:sz w:val="24"/>
          <w:szCs w:val="24"/>
          <w:lang w:val="en-US" w:eastAsia="zh-CN"/>
          <w:vertAlign w:val="superscript"/>
        </w:rPr>
        <w:t xml:space="preserve">[9]</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共享空间理念在高密度、高流量场景中的适用性一直存在争议。已有研究指出，当空间中缺乏明确的路权提示时，弱势使用者尤其是视障者与行动不便者，会因无法获取必要的定向信息而回避使用该空间，理念所承诺的“平等”在实践中可能转化为新的排斥</w:t>
      </w:r>
      <w:r>
        <w:rPr>
          <w:rFonts w:hint="eastAsia" w:ascii="Times New Roman" w:hAnsi="Times New Roman" w:cs="Times New Roman"/>
          <w:color w:val="000000"/>
          <w:sz w:val="24"/>
          <w:szCs w:val="24"/>
          <w:lang w:val="en-US" w:eastAsia="zh-CN"/>
          <w:vertAlign w:val="superscript"/>
        </w:rPr>
        <w:t xml:space="preserve">[6]</w:t>
      </w:r>
      <w:r>
        <w:rPr>
          <w:rFonts w:hint="eastAsia" w:ascii="Times New Roman" w:hAnsi="Times New Roman" w:cs="Times New Roman"/>
          <w:color w:val="000000"/>
          <w:sz w:val="24"/>
          <w:szCs w:val="24"/>
          <w:lang w:val="en-US" w:eastAsia="zh-CN"/>
        </w:rPr>
        <w:t xml:space="preserve">。从行为适应的角度看，这一争议还有更深的理论根源：风险补偿理论与风险稳态理论均指出，个体会依据自身对环境安全水平的主观判断来调整行为强度，安全设施的改善有可能被更激进的行为所抵消</w:t>
      </w:r>
      <w:r>
        <w:rPr>
          <w:rFonts w:hint="eastAsia" w:ascii="Times New Roman" w:hAnsi="Times New Roman" w:cs="Times New Roman"/>
          <w:color w:val="000000"/>
          <w:sz w:val="24"/>
          <w:szCs w:val="24"/>
          <w:lang w:val="en-US" w:eastAsia="zh-CN"/>
          <w:vertAlign w:val="superscript"/>
        </w:rPr>
        <w:t xml:space="preserve">[10-11]</w:t>
      </w:r>
      <w:r>
        <w:rPr>
          <w:rFonts w:hint="eastAsia" w:ascii="Times New Roman" w:hAnsi="Times New Roman" w:cs="Times New Roman"/>
          <w:color w:val="000000"/>
          <w:sz w:val="24"/>
          <w:szCs w:val="24"/>
          <w:lang w:val="en-US" w:eastAsia="zh-CN"/>
        </w:rPr>
        <w:t xml:space="preserve">。这意味着，模糊边界所带来的“不确定性引发谨慎”这一预期效果并非自动成立，其成立与否取决于使用者能否准确感知环境的真实风险水平。而这恰恰指向本课题所关注的核心问题，即主观认知与客观风险之间是否存在系统性偏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冲突的识别技术方面，交通冲突技术为在事故发生之前评估安全水平提供了方法基础。该技术以“交通冲突金字塔”为概念框架，将道路使用者的相互作用按严重程度排列，认为处于金字塔底部的大量轻微交互与顶部的少量事故之间存在可推断的统计关系，因而可以用观测频次远高于事故的冲突事件来替代事故数据进行安全评价</w:t>
      </w:r>
      <w:r>
        <w:rPr>
          <w:rFonts w:hint="eastAsia" w:ascii="Times New Roman" w:hAnsi="Times New Roman" w:cs="Times New Roman"/>
          <w:color w:val="000000"/>
          <w:sz w:val="24"/>
          <w:szCs w:val="24"/>
          <w:lang w:val="en-US" w:eastAsia="zh-CN"/>
          <w:vertAlign w:val="superscript"/>
        </w:rPr>
        <w:t xml:space="preserve">[12]</w:t>
      </w:r>
      <w:r>
        <w:rPr>
          <w:rFonts w:hint="eastAsia" w:ascii="Times New Roman" w:hAnsi="Times New Roman" w:cs="Times New Roman"/>
          <w:color w:val="000000"/>
          <w:sz w:val="24"/>
          <w:szCs w:val="24"/>
          <w:lang w:val="en-US" w:eastAsia="zh-CN"/>
        </w:rPr>
        <w:t xml:space="preserve">。在具体指标层面，碰撞时间指标衡量两名交通参与者在保持当前速度与方向的条件下发生碰撞所需的时间</w:t>
      </w:r>
      <w:r>
        <w:rPr>
          <w:rFonts w:hint="eastAsia" w:ascii="Times New Roman" w:hAnsi="Times New Roman" w:cs="Times New Roman"/>
          <w:color w:val="000000"/>
          <w:sz w:val="24"/>
          <w:szCs w:val="24"/>
          <w:lang w:val="en-US" w:eastAsia="zh-CN"/>
          <w:vertAlign w:val="superscript"/>
        </w:rPr>
        <w:t xml:space="preserve">[13]</w:t>
      </w:r>
      <w:r>
        <w:rPr>
          <w:rFonts w:hint="eastAsia" w:ascii="Times New Roman" w:hAnsi="Times New Roman" w:cs="Times New Roman"/>
          <w:color w:val="000000"/>
          <w:sz w:val="24"/>
          <w:szCs w:val="24"/>
          <w:lang w:val="en-US" w:eastAsia="zh-CN"/>
        </w:rPr>
        <w:t xml:space="preserve">，后侵入时间指标则衡量先行者离开冲突点与后行者到达冲突点之间的时间差</w:t>
      </w:r>
      <w:r>
        <w:rPr>
          <w:rFonts w:hint="eastAsia" w:ascii="Times New Roman" w:hAnsi="Times New Roman" w:cs="Times New Roman"/>
          <w:color w:val="000000"/>
          <w:sz w:val="24"/>
          <w:szCs w:val="24"/>
          <w:lang w:val="en-US" w:eastAsia="zh-CN"/>
          <w:vertAlign w:val="superscript"/>
        </w:rPr>
        <w:t xml:space="preserve">[14]</w:t>
      </w:r>
      <w:r>
        <w:rPr>
          <w:rFonts w:hint="eastAsia" w:ascii="Times New Roman" w:hAnsi="Times New Roman" w:cs="Times New Roman"/>
          <w:color w:val="000000"/>
          <w:sz w:val="24"/>
          <w:szCs w:val="24"/>
          <w:lang w:val="en-US" w:eastAsia="zh-CN"/>
        </w:rPr>
        <w:t xml:space="preserve">，二者构成了时间类替代安全指标的基础。此后，研究者进一步发展出减速度需求等指标，并将其嵌入交通仿真环境以实现批量计算</w:t>
      </w:r>
      <w:r>
        <w:rPr>
          <w:rFonts w:hint="eastAsia" w:ascii="Times New Roman" w:hAnsi="Times New Roman" w:cs="Times New Roman"/>
          <w:color w:val="000000"/>
          <w:sz w:val="24"/>
          <w:szCs w:val="24"/>
          <w:lang w:val="en-US" w:eastAsia="zh-CN"/>
          <w:vertAlign w:val="superscript"/>
        </w:rPr>
        <w:t xml:space="preserve">[15]</w:t>
      </w:r>
      <w:r>
        <w:rPr>
          <w:rFonts w:hint="eastAsia" w:ascii="Times New Roman" w:hAnsi="Times New Roman" w:cs="Times New Roman"/>
          <w:color w:val="000000"/>
          <w:sz w:val="24"/>
          <w:szCs w:val="24"/>
          <w:lang w:val="en-US" w:eastAsia="zh-CN"/>
        </w:rPr>
        <w:t xml:space="preserve">。也有研究基于微观行为数据构建了统一的评价框架，尝试将不同指标纳入同一严重度尺度之下</w:t>
      </w:r>
      <w:r>
        <w:rPr>
          <w:rFonts w:hint="eastAsia" w:ascii="Times New Roman" w:hAnsi="Times New Roman" w:cs="Times New Roman"/>
          <w:color w:val="000000"/>
          <w:sz w:val="24"/>
          <w:szCs w:val="24"/>
          <w:lang w:val="en-US" w:eastAsia="zh-CN"/>
          <w:vertAlign w:val="superscript"/>
        </w:rPr>
        <w:t xml:space="preserve">[16]</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注意的是，上述指标体系大多源自机动车交通情境，直接移用于慢行主体时存在明显局限。已有研究在系统梳理面向弱势道路使用者的替代安全指标后指出，行人与骑行者的运动轨迹自由度高、速度低、方向变化频繁，且其规避行为往往在指标达到临界值之前即已完成，因此以机动车为参照标定的阈值会系统性地低估慢行冲突的严重程度</w:t>
      </w:r>
      <w:r>
        <w:rPr>
          <w:rFonts w:hint="eastAsia" w:ascii="Times New Roman" w:hAnsi="Times New Roman" w:cs="Times New Roman"/>
          <w:color w:val="000000"/>
          <w:sz w:val="24"/>
          <w:szCs w:val="24"/>
          <w:lang w:val="en-US" w:eastAsia="zh-CN"/>
          <w:vertAlign w:val="superscript"/>
        </w:rPr>
        <w:t xml:space="preserve">[17]</w:t>
      </w:r>
      <w:r>
        <w:rPr>
          <w:rFonts w:hint="eastAsia" w:ascii="Times New Roman" w:hAnsi="Times New Roman" w:cs="Times New Roman"/>
          <w:color w:val="000000"/>
          <w:sz w:val="24"/>
          <w:szCs w:val="24"/>
          <w:lang w:val="en-US" w:eastAsia="zh-CN"/>
        </w:rPr>
        <w:t xml:space="preserve">。亦有研究指出，冲突技术在指标选择、阈值设定与严重度分级方面仍缺乏统一标准，不同研究之间的结果可比性有限</w:t>
      </w:r>
      <w:r>
        <w:rPr>
          <w:rFonts w:hint="eastAsia" w:ascii="Times New Roman" w:hAnsi="Times New Roman" w:cs="Times New Roman"/>
          <w:color w:val="000000"/>
          <w:sz w:val="24"/>
          <w:szCs w:val="24"/>
          <w:lang w:val="en-US" w:eastAsia="zh-CN"/>
          <w:vertAlign w:val="superscript"/>
        </w:rPr>
        <w:t xml:space="preserve">[18]</w:t>
      </w:r>
      <w:r>
        <w:rPr>
          <w:rFonts w:hint="eastAsia" w:ascii="Times New Roman" w:hAnsi="Times New Roman" w:cs="Times New Roman"/>
          <w:color w:val="000000"/>
          <w:sz w:val="24"/>
          <w:szCs w:val="24"/>
          <w:lang w:val="en-US" w:eastAsia="zh-CN"/>
        </w:rPr>
        <w:t xml:space="preserve">。常用替代安全指标的特征与其在校园慢行情境中的适用性比较如表2所示。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  常用替代安全指标的比较及其在校园慢行情境中的适用性</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800"/>
        <w:gridCol w:w="1750"/>
        <w:gridCol w:w="1750"/>
        <w:gridCol w:w="22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指标</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基本定义</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主要优势</w:t>
            </w:r>
          </w:p>
        </w:tc>
        <w:tc>
          <w:tcPr>
            <w:tcW w:w="1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主要局限</w:t>
            </w:r>
          </w:p>
        </w:tc>
        <w:tc>
          <w:tcPr>
            <w:tcW w:w="22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校园慢行情境适用性</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碰撞时间TTC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保持当前速度与方向时至碰撞的剩余时间</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危险迫近性直观，预测性强，可连续计算</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依赖轨迹外推，对低速与频繁变向情境敏感度下降</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适用，但阈值需按低速情境下调</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后侵入时间PET</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先行者离开与后行者到达冲突点的时间差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计算简便，对交叉冲突尤为适用</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仅适用于轨迹存在交叉点的情形，无法刻画同向追随</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部分适用，可作为交叉口的补充指标</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减速度需求DRAC</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避免碰撞所需的最小减速度</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纳入了制动能力约束，物理含义明确</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需已知制动性能参数，慢行主体差异极大</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适用性有限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最小距离</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交互过程中两者之间的最短空间间隔</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测量直接，不依赖速度估计</w:t>
            </w:r>
          </w:p>
        </w:tc>
        <w:tc>
          <w:tcPr>
            <w:tcW w:w="17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未计入速度信息，静态接近与高速掠过难以区分</w:t>
            </w:r>
          </w:p>
        </w:tc>
        <w:tc>
          <w:tcPr>
            <w:tcW w:w="22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可作为辅助指标</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冲突双方在交互时刻的速度差值</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直接对应伤害严重程度</w:t>
            </w:r>
          </w:p>
        </w:tc>
        <w:tc>
          <w:tcPr>
            <w:tcW w:w="17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单独使用无法判定是否构成冲突</w:t>
            </w:r>
          </w:p>
        </w:tc>
        <w:tc>
          <w:tcPr>
            <w:tcW w:w="22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宜与时间类指标联合使用</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共享道路交通安全研究的首要任务是精准识别行为冲突并界定空间热点。视频观测技术为这一领域带来了突破性进展。针对深圳共享路径的一项研究通过部署摄像头和轨迹分析</w:t>
      </w:r>
      <w:r>
        <w:rPr>
          <w:rFonts w:hint="default" w:ascii="Times New Roman" w:hAnsi="Times New Roman" w:cs="Times New Roman"/>
          <w:lang w:val="en-US" w:eastAsia="zh-CN"/>
          <w:vertAlign w:val="superscript"/>
        </w:rPr>
        <w:t xml:space="preserve">[19]</w:t>
      </w:r>
      <w:r>
        <w:rPr>
          <w:rFonts w:hint="default" w:ascii="Times New Roman" w:hAnsi="Times New Roman" w:cs="Times New Roman"/>
          <w:lang w:val="en-US" w:eastAsia="zh-CN"/>
        </w:rPr>
        <w:t xml:space="preserve">，将1164起冲突分类为潜在、轻微和严重三个层级，并采用SMOTE增强随机森林建模识别出10个关键影响因素。其研究结果表明：当行人流量较高或骑行者违章时，冲突更易演化为严重险情。这一研究结果还提示在人车混行的校园空间中，不规范行为是诱发冲突的主要因素。此外，在空间热点识别方面，研究采用泊松对数正态模型结合机器学习方法，成功定位城镇层面的事故热点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是基于上述局限，本课题在沿用碰撞时间指标作为主要判别依据的同时，对其分级阈值作了针对性调整。调整的依据有三：其一，校园共享道路的通行速度普遍低于城市道路，冲突双方从察觉到完成规避所需的绝对时间更短，若沿用机动车情境下小于1秒的严重冲突阈值，将使大量实际已构成危险的交互被归入低等级；其二，校园场景中注意力分散行为高发，使用者的有效反应时间被显著拉长，需要以更宽的时间余量来界定危险；其三，共享道路缺乏明确分隔，轨迹的可预测性低，短时间内的方向突变频繁，需要为轨迹外推的误差预留裕度。据此，本研究将严重冲突的阈值由小于1秒上调至小于1.5秒，并相应调整其余各级的区间，具体分级见4.1.1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然而，现有研究仅从客观层面分析发生交通冲突的具体问题，如何从交通参与者的主观层面分析发生冲突的原因仍需要深入探讨。</w:t>
      </w:r>
    </w:p>
    <w:p w14:paraId="376473E8">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2.1.2面向校园交通环境特征的主观认知评价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客观建成环境如何经由主观感知影响出行行为，是慢行交通研究的经典命题。早期研究以密度、多样性与设计三类要素刻画建成环境对出行的影响，确立了环境特征与行为之间的分析框架</w:t>
      </w:r>
      <w:r>
        <w:rPr>
          <w:rFonts w:hint="eastAsia" w:ascii="Times New Roman" w:hAnsi="Times New Roman" w:cs="Times New Roman"/>
          <w:color w:val="000000"/>
          <w:sz w:val="24"/>
          <w:szCs w:val="24"/>
          <w:lang w:val="en-US" w:eastAsia="zh-CN"/>
          <w:vertAlign w:val="superscript"/>
        </w:rPr>
        <w:t xml:space="preserve">[20]</w:t>
      </w:r>
      <w:r>
        <w:rPr>
          <w:rFonts w:hint="eastAsia" w:ascii="Times New Roman" w:hAnsi="Times New Roman" w:cs="Times New Roman"/>
          <w:color w:val="000000"/>
          <w:sz w:val="24"/>
          <w:szCs w:val="24"/>
          <w:lang w:val="en-US" w:eastAsia="zh-CN"/>
        </w:rPr>
        <w:t xml:space="preserve">；此后，研究者尝试将原本被认为难以量化的城市设计品质，如围合感、通透性、人性化尺度等，转化为可由现场审计稳定测量的操作性指标</w:t>
      </w:r>
      <w:r>
        <w:rPr>
          <w:rFonts w:hint="eastAsia" w:ascii="Times New Roman" w:hAnsi="Times New Roman" w:cs="Times New Roman"/>
          <w:color w:val="000000"/>
          <w:sz w:val="24"/>
          <w:szCs w:val="24"/>
          <w:lang w:val="en-US" w:eastAsia="zh-CN"/>
          <w:vertAlign w:val="superscript"/>
        </w:rPr>
        <w:t xml:space="preserve">[21]</w:t>
      </w:r>
      <w:r>
        <w:rPr>
          <w:rFonts w:hint="eastAsia" w:ascii="Times New Roman" w:hAnsi="Times New Roman" w:cs="Times New Roman"/>
          <w:color w:val="000000"/>
          <w:sz w:val="24"/>
          <w:szCs w:val="24"/>
          <w:lang w:val="en-US" w:eastAsia="zh-CN"/>
        </w:rPr>
        <w:t xml:space="preserve">，并进一步发展出综合性的步行适宜性指数，用以在较大空间尺度上比较不同区域的步行支持水平</w:t>
      </w:r>
      <w:r>
        <w:rPr>
          <w:rFonts w:hint="eastAsia" w:ascii="Times New Roman" w:hAnsi="Times New Roman" w:cs="Times New Roman"/>
          <w:color w:val="000000"/>
          <w:sz w:val="24"/>
          <w:szCs w:val="24"/>
          <w:lang w:val="en-US" w:eastAsia="zh-CN"/>
          <w:vertAlign w:val="superscript"/>
        </w:rPr>
        <w:t xml:space="preserve">[22]</w:t>
      </w:r>
      <w:r>
        <w:rPr>
          <w:rFonts w:hint="eastAsia" w:ascii="Times New Roman" w:hAnsi="Times New Roman" w:cs="Times New Roman"/>
          <w:color w:val="000000"/>
          <w:sz w:val="24"/>
          <w:szCs w:val="24"/>
          <w:lang w:val="en-US" w:eastAsia="zh-CN"/>
        </w:rPr>
        <w:t xml:space="preserve">。这一系列工作的共同贡献在于，将“环境是否让人感到安全舒适”这一主观判断，锚定到了可测量的物理属性之上。</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研究人员还探索了客观环境如何通过主观感知影响行为选择。国内外研究均探讨了校园道路使用者的主观安全感受及影响因素</w:t>
      </w:r>
      <w:r>
        <w:rPr>
          <w:rFonts w:hint="default" w:ascii="Times New Roman" w:hAnsi="Times New Roman" w:cs="Times New Roman"/>
          <w:lang w:val="en-US" w:eastAsia="zh-CN"/>
          <w:vertAlign w:val="superscript"/>
        </w:rPr>
        <w:t xml:space="preserve">[23-24]</w:t>
      </w:r>
      <w:r>
        <w:rPr>
          <w:rFonts w:hint="default" w:ascii="Times New Roman" w:hAnsi="Times New Roman" w:cs="Times New Roman"/>
          <w:lang w:val="en-US" w:eastAsia="zh-CN"/>
        </w:rPr>
        <w:t xml:space="preserve">。一些研究采用自行车服务水平（Bicycle Level of Service，BLOS）或路径行人舒适度指数（Path User Comfort Equivalent， PUCE ）等相关方法对校园交通环境特征进行测度</w:t>
      </w:r>
      <w:r>
        <w:rPr>
          <w:rFonts w:hint="default" w:ascii="Times New Roman" w:hAnsi="Times New Roman" w:cs="Times New Roman"/>
          <w:lang w:val="en-US" w:eastAsia="zh-CN"/>
          <w:vertAlign w:val="superscript"/>
        </w:rPr>
        <w:t xml:space="preserve">[25]</w:t>
      </w:r>
      <w:r>
        <w:rPr>
          <w:rFonts w:hint="default" w:ascii="Times New Roman" w:hAnsi="Times New Roman" w:cs="Times New Roman"/>
          <w:lang w:val="en-US" w:eastAsia="zh-CN"/>
        </w:rPr>
        <w:t xml:space="preserve">，发现人行道宽度、连通性、照明等因素直接影响行人舒适度和安全感知。天津大学通过分析157段校园道路，发现步道条件改善可提高行人流量与安全感，而狭窄或缺乏无障碍的人行道会迫使行人进入车行道，并降低安全舒适度。中东地区的校园步行友好性研究表明，人行道品质和设施完善度与学生的步行意愿显著相关。此类客观测量数据为解释环境－行为关系的问题提供了数据支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在慢行交通的评价方法上，已形成若干各有侧重的方法族群。自行车服务水平模型以实时感知数据为基础，通过回归方式将车道宽度、机动车流量与速度、路面状况等变量与骑行者的主观舒适度评分相关联</w:t>
      </w:r>
      <w:r>
        <w:rPr>
          <w:rFonts w:hint="eastAsia" w:ascii="Times New Roman" w:hAnsi="Times New Roman" w:cs="Times New Roman"/>
          <w:color w:val="000000"/>
          <w:sz w:val="24"/>
          <w:szCs w:val="24"/>
          <w:lang w:val="en-US" w:eastAsia="zh-CN"/>
          <w:vertAlign w:val="superscript"/>
        </w:rPr>
        <w:t xml:space="preserve">[25]</w:t>
      </w:r>
      <w:r>
        <w:rPr>
          <w:rFonts w:hint="eastAsia" w:ascii="Times New Roman" w:hAnsi="Times New Roman" w:cs="Times New Roman"/>
          <w:color w:val="000000"/>
          <w:sz w:val="24"/>
          <w:szCs w:val="24"/>
          <w:lang w:val="en-US" w:eastAsia="zh-CN"/>
        </w:rPr>
        <w:t xml:space="preserve">；骑行压力水平的早期研究则以“压力等级”刻画骑行者在不同道路条件下的心理负担</w:t>
      </w:r>
      <w:r>
        <w:rPr>
          <w:rFonts w:hint="eastAsia" w:ascii="Times New Roman" w:hAnsi="Times New Roman" w:cs="Times New Roman"/>
          <w:color w:val="000000"/>
          <w:sz w:val="24"/>
          <w:szCs w:val="24"/>
          <w:lang w:val="en-US" w:eastAsia="zh-CN"/>
          <w:vertAlign w:val="superscript"/>
        </w:rPr>
        <w:t xml:space="preserve">[26]</w:t>
      </w:r>
      <w:r>
        <w:rPr>
          <w:rFonts w:hint="eastAsia" w:ascii="Times New Roman" w:hAnsi="Times New Roman" w:cs="Times New Roman"/>
          <w:color w:val="000000"/>
          <w:sz w:val="24"/>
          <w:szCs w:val="24"/>
          <w:lang w:val="en-US" w:eastAsia="zh-CN"/>
        </w:rPr>
        <w:t xml:space="preserve">；此后发展的交通压力等级方法进一步将路段与交叉口划分为四个等级，并强调网络连通性对低压力骑行的决定性作用</w:t>
      </w:r>
      <w:r>
        <w:rPr>
          <w:rFonts w:hint="eastAsia" w:ascii="Times New Roman" w:hAnsi="Times New Roman" w:cs="Times New Roman"/>
          <w:color w:val="000000"/>
          <w:sz w:val="24"/>
          <w:szCs w:val="24"/>
          <w:lang w:val="en-US" w:eastAsia="zh-CN"/>
          <w:vertAlign w:val="superscript"/>
        </w:rPr>
        <w:t xml:space="preserve">[27]</w:t>
      </w:r>
      <w:r>
        <w:rPr>
          <w:rFonts w:hint="eastAsia" w:ascii="Times New Roman" w:hAnsi="Times New Roman" w:cs="Times New Roman"/>
          <w:color w:val="000000"/>
          <w:sz w:val="24"/>
          <w:szCs w:val="24"/>
          <w:lang w:val="en-US" w:eastAsia="zh-CN"/>
        </w:rPr>
        <w:t xml:space="preserve">；面向步行的评价则以步行指数一类的综合指标为代表，已被应用于校园环境的实证研究</w:t>
      </w:r>
      <w:r>
        <w:rPr>
          <w:rFonts w:hint="eastAsia" w:ascii="Times New Roman" w:hAnsi="Times New Roman" w:cs="Times New Roman"/>
          <w:color w:val="000000"/>
          <w:sz w:val="24"/>
          <w:szCs w:val="24"/>
          <w:lang w:val="en-US" w:eastAsia="zh-CN"/>
          <w:vertAlign w:val="superscript"/>
        </w:rPr>
        <w:t xml:space="preserve">[23]</w:t>
      </w:r>
      <w:r>
        <w:rPr>
          <w:rFonts w:hint="eastAsia" w:ascii="Times New Roman" w:hAnsi="Times New Roman" w:cs="Times New Roman"/>
          <w:color w:val="000000"/>
          <w:sz w:val="24"/>
          <w:szCs w:val="24"/>
          <w:lang w:val="en-US" w:eastAsia="zh-CN"/>
        </w:rPr>
        <w:t xml:space="preserve">。上述方法的比较如表3所示。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  慢行交通主观安全与环境品质评价方法的比较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500"/>
        <w:gridCol w:w="1100"/>
        <w:gridCol w:w="2500"/>
        <w:gridCol w:w="1400"/>
        <w:gridCol w:w="1996"/>
      </w:tblGrid>
      <w:tr>
        <w:trPr>
          <w:tblHeader/>
        </w:trPr>
        <w:tc>
          <w:tcPr>
            <w:tcW w:w="1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方法</w:t>
            </w:r>
          </w:p>
        </w:tc>
        <w:tc>
          <w:tcPr>
            <w:tcW w:w="1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评价对象</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主要输入变量</w:t>
            </w:r>
          </w:p>
        </w:tc>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输出形式</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在本研究中的作用</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自行车服务水平BLOS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有效宽度、机动车流量与速度、路面状况、分隔形式</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A至F六级服务水平</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用于设计原型的骑行安全量化评估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路径使用者舒适度当量PUCE</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通行宽度、混行强度、遭遇频次、避让空间</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舒适度当量值</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用于设计原型的步行安全量化评估</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交通压力等级LTS</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车道等级、分隔条件、交叉口形式、网络连通性</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LTS 1至4级</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为路权分隔形式的设定提供参照</w:t>
            </w:r>
          </w:p>
        </w:tc>
      </w:tr>
      <w:tr>
        <w:tc>
          <w:tcPr>
            <w:tcW w:w="15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步行指数类综合指标</w:t>
            </w:r>
          </w:p>
        </w:tc>
        <w:tc>
          <w:tcPr>
            <w:tcW w:w="11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设施可达性、路网连通度、街道品质</w:t>
            </w:r>
          </w:p>
        </w:tc>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综合评分</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为环境要素的选取提供参照</w:t>
            </w:r>
          </w:p>
        </w:tc>
      </w:tr>
      <w:tr>
        <w:tc>
          <w:tcPr>
            <w:tcW w:w="15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城市设计品质审计</w:t>
            </w:r>
          </w:p>
        </w:tc>
        <w:tc>
          <w:tcPr>
            <w:tcW w:w="11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围合感、通透性、人性化尺度、复杂度</w:t>
            </w:r>
          </w:p>
        </w:tc>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各维度评分</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为景观复杂度变量的设定提供参照</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就校园情境而言，已有研究进一步揭示了主观评价与客观测量之间并非简单对应。有研究以美国某大学校园为对象，同时采集骑行适宜性的客观审计数据与使用者的主观评分，发现两者在部分路段上出现明显分歧，客观条件较好的路段未必获得较高的主观评价，反之亦然</w:t>
      </w:r>
      <w:r>
        <w:rPr>
          <w:rFonts w:hint="eastAsia" w:ascii="Times New Roman" w:hAnsi="Times New Roman" w:cs="Times New Roman"/>
          <w:color w:val="000000"/>
          <w:sz w:val="24"/>
          <w:szCs w:val="24"/>
          <w:lang w:val="en-US" w:eastAsia="zh-CN"/>
          <w:vertAlign w:val="superscript"/>
        </w:rPr>
        <w:t xml:space="preserve">[24]</w:t>
      </w:r>
      <w:r>
        <w:rPr>
          <w:rFonts w:hint="eastAsia" w:ascii="Times New Roman" w:hAnsi="Times New Roman" w:cs="Times New Roman"/>
          <w:color w:val="000000"/>
          <w:sz w:val="24"/>
          <w:szCs w:val="24"/>
          <w:lang w:val="en-US" w:eastAsia="zh-CN"/>
        </w:rPr>
        <w:t xml:space="preserve">。这一发现对本课题具有直接的启发意义：若主观感知与客观安全之间确实存在结构性的偏离，则单纯依据客观指标进行的环境改善，未必能够转化为使用者安全感的提升，也未必能够纠正其风险判断。因此，有必要将这种偏离本身作为独立的研究对象加以量化。</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现有研究虽然认识到校园交通环境特征与道路参与者主观认知具有一定的关联性，但如何将主观认知转化为具体的交通环境优化策略，并通过相关设计引导共享空间中道路参与者的交通安全行为还需要展开深入研究。</w:t>
      </w:r>
    </w:p>
    <w:p w14:paraId="36FD0835">
      <w:pPr>
        <w:pStyle w:val="3"/>
        <w:spacing w:before="100" w:after="300" w:line="400" w:lineRule="exact"/>
        <w:rPr>
          <w:rFonts w:hint="default"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2.1.3共享道路参与者行为特征与冲突形成机理研究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理解交通参与者的行为为何发生，需要借助行为科学的理论工具。合理行为理论最早提出，个体的行为主要由行为意图决定，而行为意图又取决于其对行为的态度与感知到的社会规范</w:t>
      </w:r>
      <w:r>
        <w:rPr>
          <w:rFonts w:hint="eastAsia" w:ascii="Times New Roman" w:hAnsi="Times New Roman" w:cs="Times New Roman"/>
          <w:color w:val="000000"/>
          <w:sz w:val="24"/>
          <w:szCs w:val="24"/>
          <w:lang w:val="en-US" w:eastAsia="zh-CN"/>
          <w:vertAlign w:val="superscript"/>
        </w:rPr>
        <w:t xml:space="preserve">[28]</w:t>
      </w:r>
      <w:r>
        <w:rPr>
          <w:rFonts w:hint="eastAsia" w:ascii="Times New Roman" w:hAnsi="Times New Roman" w:cs="Times New Roman"/>
          <w:color w:val="000000"/>
          <w:sz w:val="24"/>
          <w:szCs w:val="24"/>
          <w:lang w:val="en-US" w:eastAsia="zh-CN"/>
        </w:rPr>
        <w:t xml:space="preserve">；计划行为理论在此基础上引入知觉行为控制这一变量，用以刻画个体对执行某一行为难易程度的主观判断，从而将非完全自主的行为纳入解释范围</w:t>
      </w:r>
      <w:r>
        <w:rPr>
          <w:rFonts w:hint="eastAsia" w:ascii="Times New Roman" w:hAnsi="Times New Roman" w:cs="Times New Roman"/>
          <w:color w:val="000000"/>
          <w:sz w:val="24"/>
          <w:szCs w:val="24"/>
          <w:lang w:val="en-US" w:eastAsia="zh-CN"/>
          <w:vertAlign w:val="superscript"/>
        </w:rPr>
        <w:t xml:space="preserve">[29]</w:t>
      </w:r>
      <w:r>
        <w:rPr>
          <w:rFonts w:hint="eastAsia" w:ascii="Times New Roman" w:hAnsi="Times New Roman" w:cs="Times New Roman"/>
          <w:color w:val="000000"/>
          <w:sz w:val="24"/>
          <w:szCs w:val="24"/>
          <w:lang w:val="en-US" w:eastAsia="zh-CN"/>
        </w:rPr>
        <w:t xml:space="preserve">，该变量在概念上与自我效能感高度相关</w:t>
      </w:r>
      <w:r>
        <w:rPr>
          <w:rFonts w:hint="eastAsia" w:ascii="Times New Roman" w:hAnsi="Times New Roman" w:cs="Times New Roman"/>
          <w:color w:val="000000"/>
          <w:sz w:val="24"/>
          <w:szCs w:val="24"/>
          <w:lang w:val="en-US" w:eastAsia="zh-CN"/>
          <w:vertAlign w:val="superscript"/>
        </w:rPr>
        <w:t xml:space="preserve">[30]</w:t>
      </w:r>
      <w:r>
        <w:rPr>
          <w:rFonts w:hint="eastAsia" w:ascii="Times New Roman" w:hAnsi="Times New Roman" w:cs="Times New Roman"/>
          <w:color w:val="000000"/>
          <w:sz w:val="24"/>
          <w:szCs w:val="24"/>
          <w:lang w:val="en-US" w:eastAsia="zh-CN"/>
        </w:rPr>
        <w:t xml:space="preserve">。这一理论框架已被广泛应用于交通违规行为的解释，有研究据此考察了驾驶人违规意图的形成机制，验证了态度与知觉行为控制的预测作用</w:t>
      </w:r>
      <w:r>
        <w:rPr>
          <w:rFonts w:hint="eastAsia" w:ascii="Times New Roman" w:hAnsi="Times New Roman" w:cs="Times New Roman"/>
          <w:color w:val="000000"/>
          <w:sz w:val="24"/>
          <w:szCs w:val="24"/>
          <w:lang w:val="en-US" w:eastAsia="zh-CN"/>
          <w:vertAlign w:val="superscript"/>
        </w:rPr>
        <w:t xml:space="preserve">[31]</w:t>
      </w:r>
      <w:r>
        <w:rPr>
          <w:rFonts w:hint="eastAsia" w:ascii="Times New Roman" w:hAnsi="Times New Roman" w:cs="Times New Roman"/>
          <w:color w:val="000000"/>
          <w:sz w:val="24"/>
          <w:szCs w:val="24"/>
          <w:lang w:val="en-US" w:eastAsia="zh-CN"/>
        </w:rPr>
        <w:t xml:space="preserve">；亦有研究通过区分“差错”与“违规”两类不安全行为，指出前者源于信息加工的失败，后者则源于动机层面的选择，二者需要不同的干预路径</w:t>
      </w:r>
      <w:r>
        <w:rPr>
          <w:rFonts w:hint="eastAsia" w:ascii="Times New Roman" w:hAnsi="Times New Roman" w:cs="Times New Roman"/>
          <w:color w:val="000000"/>
          <w:sz w:val="24"/>
          <w:szCs w:val="24"/>
          <w:lang w:val="en-US" w:eastAsia="zh-CN"/>
          <w:vertAlign w:val="superscript"/>
        </w:rPr>
        <w:t xml:space="preserve">[32]</w:t>
      </w:r>
      <w:r>
        <w:rPr>
          <w:rFonts w:hint="eastAsia" w:ascii="Times New Roman" w:hAnsi="Times New Roman" w:cs="Times New Roman"/>
          <w:color w:val="000000"/>
          <w:sz w:val="24"/>
          <w:szCs w:val="24"/>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与上述侧重规范与控制的理论不同，另一类理论从威胁评估的角度解释防护行为。健康信念模型认为，个体是否采取防护行为取决于其对威胁易感性与严重性的判断，以及对行动收益与障碍的权衡</w:t>
      </w:r>
      <w:r>
        <w:rPr>
          <w:rFonts w:hint="eastAsia" w:ascii="Times New Roman" w:hAnsi="Times New Roman" w:cs="Times New Roman"/>
          <w:color w:val="000000"/>
          <w:sz w:val="24"/>
          <w:szCs w:val="24"/>
          <w:lang w:val="en-US" w:eastAsia="zh-CN"/>
          <w:vertAlign w:val="superscript"/>
        </w:rPr>
        <w:t xml:space="preserve">[33]</w:t>
      </w:r>
      <w:r>
        <w:rPr>
          <w:rFonts w:hint="eastAsia" w:ascii="Times New Roman" w:hAnsi="Times New Roman" w:cs="Times New Roman"/>
          <w:color w:val="000000"/>
          <w:sz w:val="24"/>
          <w:szCs w:val="24"/>
          <w:lang w:val="en-US" w:eastAsia="zh-CN"/>
        </w:rPr>
        <w:t xml:space="preserve">；保护动机理论进一步将这一过程区分为威胁评估与应对评估两条并行路径，指出仅强调危险而不提供可行的应对方式，反而可能引发回避而非防护</w:t>
      </w:r>
      <w:r>
        <w:rPr>
          <w:rFonts w:hint="eastAsia" w:ascii="Times New Roman" w:hAnsi="Times New Roman" w:cs="Times New Roman"/>
          <w:color w:val="000000"/>
          <w:sz w:val="24"/>
          <w:szCs w:val="24"/>
          <w:lang w:val="en-US" w:eastAsia="zh-CN"/>
          <w:vertAlign w:val="superscript"/>
        </w:rPr>
        <w:t xml:space="preserve">[34]</w:t>
      </w:r>
      <w:r>
        <w:rPr>
          <w:rFonts w:hint="eastAsia" w:ascii="Times New Roman" w:hAnsi="Times New Roman" w:cs="Times New Roman"/>
          <w:color w:val="000000"/>
          <w:sz w:val="24"/>
          <w:szCs w:val="24"/>
          <w:lang w:val="en-US" w:eastAsia="zh-CN"/>
        </w:rPr>
        <w:t xml:space="preserve">。此外，技术接受模型以感知有用性与感知易用性两个变量解释使用者对新事物的接受意愿</w:t>
      </w:r>
      <w:r>
        <w:rPr>
          <w:rFonts w:hint="eastAsia" w:ascii="Times New Roman" w:hAnsi="Times New Roman" w:cs="Times New Roman"/>
          <w:color w:val="000000"/>
          <w:sz w:val="24"/>
          <w:szCs w:val="24"/>
          <w:lang w:val="en-US" w:eastAsia="zh-CN"/>
          <w:vertAlign w:val="superscript"/>
        </w:rPr>
        <w:t xml:space="preserve">[35]</w:t>
      </w:r>
      <w:r>
        <w:rPr>
          <w:rFonts w:hint="eastAsia" w:ascii="Times New Roman" w:hAnsi="Times New Roman" w:cs="Times New Roman"/>
          <w:color w:val="000000"/>
          <w:sz w:val="24"/>
          <w:szCs w:val="24"/>
          <w:lang w:val="en-US" w:eastAsia="zh-CN"/>
        </w:rPr>
        <w:t xml:space="preserve">，其后续扩展进一步纳入了社会影响与便利条件等因素</w:t>
      </w:r>
      <w:r>
        <w:rPr>
          <w:rFonts w:hint="eastAsia" w:ascii="Times New Roman" w:hAnsi="Times New Roman" w:cs="Times New Roman"/>
          <w:color w:val="000000"/>
          <w:sz w:val="24"/>
          <w:szCs w:val="24"/>
          <w:lang w:val="en-US" w:eastAsia="zh-CN"/>
          <w:vertAlign w:val="superscript"/>
        </w:rPr>
        <w:t xml:space="preserve">[36-37]</w:t>
      </w:r>
      <w:r>
        <w:rPr>
          <w:rFonts w:hint="eastAsia" w:ascii="Times New Roman" w:hAnsi="Times New Roman" w:cs="Times New Roman"/>
          <w:color w:val="000000"/>
          <w:sz w:val="24"/>
          <w:szCs w:val="24"/>
          <w:lang w:val="en-US" w:eastAsia="zh-CN"/>
        </w:rPr>
        <w:t xml:space="preserve">。虽然该模型源自信息系统领域，但其所刻画的“有用”与“易用”两个维度，对于解释使用者是否愿意遵循某项交通规则或使用某项交通设施，具有明确的适配性。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理论各有侧重，其构念、解释重心与在本研究中的取舍如表4所示。综合考量后，本课题选择以计划行为理论为主干，以合理行为理论确立态度与主观规范的测量基础，并引入技术接受模型的感知有用性与感知易用性两个构念。作出这一取舍的理由在于：校园共享道路上的安全行为，既包含由态度与社会规范驱动的规范性成分，也包含由设施条件是否便利所决定的工具性成分；前者可由计划行为理论与合理行为理论刻画，后者则需要借助技术接受模型的构念方能得到充分表达。相比之下，健康信念模型与保护动机理论更适用于一次性、高威胁情境下的防护决策，与校园通行这类高频、低威胁、习惯化程度较高的日常行为契合度较低，故未纳入主干框架，但其关于威胁评估的思想，体现在本研究对风险感知与过往冲突经历两个变量的设定之中。</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表4  行为理论框架的比较与本研究的构念取舍</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600"/>
        <w:gridCol w:w="1700"/>
        <w:gridCol w:w="1700"/>
        <w:gridCol w:w="2100"/>
        <w:gridCol w:w="1396"/>
      </w:tblGrid>
      <w:tr>
        <w:trPr>
          <w:tblHeader/>
        </w:trPr>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理论</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核心构念</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解释重心</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对本研究的适配性</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取舍</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合理行为理论TRA</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态度、主观规范、行为意图</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完全自主行为的理性决策过程</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奠定态度与规范的测量基础</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计划行为理论TPB</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在TRA基础上增加知觉行为控制</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非完全自主行为的意图形成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校园通行受技能与条件约束，适配度高</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纳入，作为主干</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技术接受模型TAM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感知有用性、感知易用性</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使用者对事物的接受与采纳意愿</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刻画设施便利性对合规行为的影响</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健康信念模型HBM</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易感性、严重性、收益、障碍</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威胁认知驱动的防护行为</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适用于高威胁一次性决策，契合度较低</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未纳入主干，思想体现于风险感知变量</w:t>
            </w:r>
          </w:p>
        </w:tc>
      </w:tr>
      <w:tr>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保护动机理论PMT</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威胁评估、应对评估</w:t>
            </w:r>
          </w:p>
        </w:tc>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恐惧诉求条件下的动机形成</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同上，且强调应对效能</w:t>
            </w:r>
          </w:p>
        </w:tc>
        <w:tc>
          <w:tcPr>
            <w:tcW w:w="13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未纳入主干，思想体现于知觉行为控制变量</w:t>
            </w:r>
          </w:p>
        </w:tc>
      </w:tr>
      <w:tr>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驾驶行为问卷DBQ框架</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差错、失误、违规</w:t>
            </w:r>
          </w:p>
        </w:tc>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不安全行为的类型学区分</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为冲突行为的分类编码提供参照</w:t>
            </w:r>
          </w:p>
        </w:tc>
        <w:tc>
          <w:tcPr>
            <w:tcW w:w="13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用于行为编码，未进入结构模型</w:t>
            </w:r>
          </w:p>
        </w:tc>
      </w:tr>
    </w:tbl>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在识别客观冲突基础上，理解心理认知过程成为预测和改变不安全行为的关键。基于计划行为理论（Theory of Planned Behavior， TPB）、合理行为理论（Theory of Reasoned Action，TRA）与技术接受模型（Technology Acceptance Model，TAM）的理论框架</w:t>
      </w:r>
      <w:r>
        <w:rPr>
          <w:rFonts w:hint="default" w:ascii="Times New Roman" w:hAnsi="Times New Roman" w:cs="Times New Roman"/>
          <w:lang w:val="en-US" w:eastAsia="zh-CN"/>
          <w:vertAlign w:val="superscript"/>
        </w:rPr>
        <w:t xml:space="preserve">[28-29,35]</w:t>
      </w:r>
      <w:r>
        <w:rPr>
          <w:rFonts w:hint="default" w:ascii="Times New Roman" w:hAnsi="Times New Roman" w:cs="Times New Roman"/>
          <w:lang w:val="en-US" w:eastAsia="zh-CN"/>
        </w:rPr>
        <w:t xml:space="preserve">，有研究人员针对408名校园内的电动自行车用户开展了结构方程模型分析</w:t>
      </w:r>
      <w:r>
        <w:rPr>
          <w:rFonts w:hint="default" w:ascii="Times New Roman" w:hAnsi="Times New Roman" w:cs="Times New Roman"/>
          <w:lang w:val="en-US" w:eastAsia="zh-CN"/>
          <w:vertAlign w:val="superscript"/>
        </w:rPr>
        <w:t xml:space="preserve">[38]</w:t>
      </w:r>
      <w:r>
        <w:rPr>
          <w:rFonts w:hint="default" w:ascii="Times New Roman" w:hAnsi="Times New Roman" w:cs="Times New Roman"/>
          <w:lang w:val="en-US" w:eastAsia="zh-CN"/>
        </w:rPr>
        <w:t xml:space="preserve">，结果显示感知有用性和易用性等主观认知因素对违规行为（如超速、违规停放、危险充电）的影响最为显著。这一发现具有重要的实践意义：要减少违规行为，不能仅依赖规则制定和惩罚机制，更需从提升合规行为本身的便利性和有用性入手。此外，还有研究人员从态度、主观规范、行为控制感等维度识别影响安全行为的关键心理驱动因素</w:t>
      </w:r>
      <w:r>
        <w:rPr>
          <w:rFonts w:hint="default" w:ascii="Times New Roman" w:hAnsi="Times New Roman" w:cs="Times New Roman"/>
          <w:lang w:val="en-US" w:eastAsia="zh-CN"/>
          <w:vertAlign w:val="superscript"/>
        </w:rPr>
        <w:t xml:space="preserve">[39]</w:t>
      </w:r>
      <w:r>
        <w:rPr>
          <w:rFonts w:hint="default" w:ascii="Times New Roman" w:hAnsi="Times New Roman" w:cs="Times New Roman"/>
          <w:lang w:val="en-US" w:eastAsia="zh-CN"/>
        </w:rPr>
        <w:t xml:space="preserve">，为理解校园交通参与者的决策过程提供了理论依据。同时，有研究人员利用AIGC工具生成的场景图片模拟行人和骑行者的交会场景</w:t>
      </w:r>
      <w:r>
        <w:rPr>
          <w:rFonts w:hint="default" w:ascii="Times New Roman" w:hAnsi="Times New Roman" w:cs="Times New Roman"/>
          <w:lang w:val="en-US" w:eastAsia="zh-CN"/>
          <w:vertAlign w:val="superscript"/>
        </w:rPr>
        <w:t xml:space="preserve">[40]</w:t>
      </w:r>
      <w:r>
        <w:rPr>
          <w:rFonts w:hint="default" w:ascii="Times New Roman" w:hAnsi="Times New Roman" w:cs="Times New Roman"/>
          <w:lang w:val="en-US" w:eastAsia="zh-CN"/>
        </w:rPr>
        <w:t xml:space="preserve">，并发现：行人提早避让、设置多车道步道等措施能有效降低碰撞风险感知。研究人员基于研究结果，还通过精确操控情境变量揭示风险感知形成认知心理模型</w:t>
      </w:r>
      <w:r>
        <w:rPr>
          <w:rFonts w:hint="default" w:ascii="Times New Roman" w:hAnsi="Times New Roman" w:cs="Times New Roman"/>
          <w:lang w:val="en-US" w:eastAsia="zh-CN"/>
          <w:vertAlign w:val="superscript"/>
        </w:rPr>
        <w:t xml:space="preserve">[41]</w:t>
      </w:r>
      <w:r>
        <w:rPr>
          <w:rFonts w:hint="default" w:ascii="Times New Roman" w:hAnsi="Times New Roman" w:cs="Times New Roman"/>
          <w:lang w:val="en-US" w:eastAsia="zh-CN"/>
        </w:rPr>
        <w:t xml:space="preserve">。</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风险感知这一关键变量上，心理学的既有研究提供了重要的解释资源。有研究指出，人们对风险的判断往往并非基于客观概率，而是受到可控性、熟悉度、后果可怖性等定性特征的系统影响，专家与公众之间的风险判断差异大多源于此</w:t>
      </w:r>
      <w:r>
        <w:rPr>
          <w:rFonts w:hint="eastAsia" w:ascii="Times New Roman" w:hAnsi="Times New Roman" w:cs="Times New Roman"/>
          <w:color w:val="000000"/>
          <w:sz w:val="24"/>
          <w:szCs w:val="24"/>
          <w:lang w:val="en-US" w:eastAsia="zh-CN"/>
          <w:vertAlign w:val="superscript"/>
        </w:rPr>
        <w:t xml:space="preserve">[42]</w:t>
      </w:r>
      <w:r>
        <w:rPr>
          <w:rFonts w:hint="eastAsia" w:ascii="Times New Roman" w:hAnsi="Times New Roman" w:cs="Times New Roman"/>
          <w:color w:val="000000"/>
          <w:sz w:val="24"/>
          <w:szCs w:val="24"/>
          <w:lang w:val="en-US" w:eastAsia="zh-CN"/>
        </w:rPr>
        <w:t xml:space="preserve">；另有研究揭示，个体在不确定条件下的判断普遍依赖若干启发式策略，其中可得性启发式会使人依据相关事例在记忆中的易提取程度来估计其发生频率，从而产生可预测的系统性偏差</w:t>
      </w:r>
      <w:r>
        <w:rPr>
          <w:rFonts w:hint="eastAsia" w:ascii="Times New Roman" w:hAnsi="Times New Roman" w:cs="Times New Roman"/>
          <w:color w:val="000000"/>
          <w:sz w:val="24"/>
          <w:szCs w:val="24"/>
          <w:lang w:val="en-US" w:eastAsia="zh-CN"/>
          <w:vertAlign w:val="superscript"/>
        </w:rPr>
        <w:t xml:space="preserve">[43]</w:t>
      </w:r>
      <w:r>
        <w:rPr>
          <w:rFonts w:hint="eastAsia" w:ascii="Times New Roman" w:hAnsi="Times New Roman" w:cs="Times New Roman"/>
          <w:color w:val="000000"/>
          <w:sz w:val="24"/>
          <w:szCs w:val="24"/>
          <w:lang w:val="en-US" w:eastAsia="zh-CN"/>
        </w:rPr>
        <w:t xml:space="preserve">。这两项工作共同说明，风险判断的偏差并非随机误差，而是具有稳定结构、可被识别与预测的现象。这为本课题将“安全认知偏差”作为独立研究对象，并尝试对其进行量化与分类，提供了理论依据。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然而，心理模型研究在理论应用与实践验证间存在显著鸿沟。在复杂的校园交通共享道路中，交通参与者的认知意图与行为转化机制仍旧相对模糊。</w:t>
      </w:r>
    </w:p>
    <w:p w14:paraId="1C6054A5">
      <w:pPr>
        <w:pStyle w:val="3"/>
        <w:spacing w:before="100" w:after="300" w:line="400" w:lineRule="exact"/>
        <w:rPr>
          <w:rFonts w:hint="eastAsia" w:ascii="黑体" w:hAnsi="黑体" w:eastAsia="黑体"/>
          <w:b w:val="0"/>
          <w:bCs w:val="0"/>
          <w:sz w:val="28"/>
          <w:szCs w:val="28"/>
          <w:lang w:val="en-US" w:eastAsia="zh-CN"/>
        </w:rPr>
      </w:pPr>
      <w:r>
        <w:rPr>
          <w:rFonts w:hint="eastAsia" w:ascii="黑体" w:hAnsi="黑体" w:eastAsia="黑体"/>
          <w:b w:val="0"/>
          <w:bCs w:val="0"/>
          <w:sz w:val="28"/>
          <w:szCs w:val="28"/>
          <w:lang w:val="en-US" w:eastAsia="zh-CN"/>
        </w:rPr>
        <w:t>2.1.4高校共享道路安全引导策略研究</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面向共享道路的安全干预，在既有研究中大致可归为工程、教育、管理与技术四类路径。工程路径通过改变物理环境直接约束或引导行为；教育路径着眼于提升使用者的风险认知与规则意识；管理路径依托制度约束与执法形成外部压力；技术路径则借助感知与信息技术实现动态监测与实时提示。四类路径各有其作用边界：工程措施效果稳定但成本高、周期长；教育措施覆盖面广但效果衰减快；管理措施依赖持续投入，在校园这类以柔性管理为主的场域中约束力有限；技术措施响应及时，但需要持续的运行维护。本课题所聚焦的视觉引导设计，处于工程路径与信息传递之间，其特点是以较低的改造成本，通过改变环境的信息供给结构来影响使用者的判断与选择。</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为提高高校共享道路交通的安全性，国内外研究在工程、教育和管理等领域提出了多样化的设计干预策略。在工程设计上，通过增设或完善自行车道和人行道、设置物理隔离、优化人行横道和信号灯等措施，可明显减少行人与车辆直接冲突的机会</w:t>
      </w:r>
      <w:r>
        <w:rPr>
          <w:rFonts w:hint="default" w:ascii="Times New Roman" w:hAnsi="Times New Roman" w:cs="Times New Roman"/>
          <w:lang w:val="en-US" w:eastAsia="zh-CN"/>
          <w:vertAlign w:val="superscript"/>
        </w:rPr>
        <w:t xml:space="preserve">[44-45]</w:t>
      </w:r>
      <w:r>
        <w:rPr>
          <w:rFonts w:hint="default" w:ascii="Times New Roman" w:hAnsi="Times New Roman" w:cs="Times New Roman"/>
          <w:lang w:val="en-US" w:eastAsia="zh-CN"/>
        </w:rPr>
        <w:t xml:space="preserve">。同时，有研究证实：提供连续且宽敞的步行和骑行空间、改善照明和指引标识，有助于提升使用者的安全感并规避危险交通行为。在产品设计中，Kegalle等人开发了电动滑板车的自动警报系统，通过语音提示和铃声增强骑行者与行人之间的沟通，显著提高了行人对周边车辆接近的感知度，减少了共享交通环境中的突然冲突。此外，许多校园开始尝试部署主动感知技术：利用视频监控、雷达传感器等组成物联网网络，实时监测交通流与冲突情况，从而及时预警危险。例如，地理围栏技术（Geofencing）在共享电动自行车管理中被广泛应用，使车辆一旦驶入特定区域就自动限速或发出提醒，并引导车辆停放到指定区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视觉引导之所以能够发挥作用，其理论基础来自环境认知与信息加工两个方面。在环境认知方面，城市意象研究指出，人们借助路径、边界、节点、区域与标志物等要素在头脑中建立环境的结构化表征，环境的可意象性直接决定了定向的难易</w:t>
      </w:r>
      <w:r>
        <w:rPr>
          <w:rFonts w:hint="eastAsia" w:ascii="Times New Roman" w:hAnsi="Times New Roman" w:cs="Times New Roman"/>
          <w:color w:val="000000"/>
          <w:sz w:val="24"/>
          <w:szCs w:val="24"/>
          <w:lang w:val="en-US" w:eastAsia="zh-CN"/>
          <w:vertAlign w:val="superscript"/>
        </w:rPr>
        <w:t xml:space="preserve">[46]</w:t>
      </w:r>
      <w:r>
        <w:rPr>
          <w:rFonts w:hint="eastAsia" w:ascii="Times New Roman" w:hAnsi="Times New Roman" w:cs="Times New Roman"/>
          <w:color w:val="000000"/>
          <w:sz w:val="24"/>
          <w:szCs w:val="24"/>
          <w:lang w:val="en-US" w:eastAsia="zh-CN"/>
        </w:rPr>
        <w:t xml:space="preserve">；寻路研究进一步将这一过程分解为决策制定、决策执行与信息处理三个环节，强调环境所提供的信息必须与使用者在特定决策点上的需求相匹配</w:t>
      </w:r>
      <w:r>
        <w:rPr>
          <w:rFonts w:hint="eastAsia" w:ascii="Times New Roman" w:hAnsi="Times New Roman" w:cs="Times New Roman"/>
          <w:color w:val="000000"/>
          <w:sz w:val="24"/>
          <w:szCs w:val="24"/>
          <w:lang w:val="en-US" w:eastAsia="zh-CN"/>
          <w:vertAlign w:val="superscript"/>
        </w:rPr>
        <w:t xml:space="preserve">[47]</w:t>
      </w:r>
      <w:r>
        <w:rPr>
          <w:rFonts w:hint="eastAsia" w:ascii="Times New Roman" w:hAnsi="Times New Roman" w:cs="Times New Roman"/>
          <w:color w:val="000000"/>
          <w:sz w:val="24"/>
          <w:szCs w:val="24"/>
          <w:lang w:val="en-US" w:eastAsia="zh-CN"/>
        </w:rPr>
        <w:t xml:space="preserve">，而标识系统的作用正在于在关键决策点上补足这种匹配</w:t>
      </w:r>
      <w:r>
        <w:rPr>
          <w:rFonts w:hint="eastAsia" w:ascii="Times New Roman" w:hAnsi="Times New Roman" w:cs="Times New Roman"/>
          <w:color w:val="000000"/>
          <w:sz w:val="24"/>
          <w:szCs w:val="24"/>
          <w:lang w:val="en-US" w:eastAsia="zh-CN"/>
          <w:vertAlign w:val="superscript"/>
        </w:rPr>
        <w:t xml:space="preserve">[48]</w:t>
      </w:r>
      <w:r>
        <w:rPr>
          <w:rFonts w:hint="eastAsia" w:ascii="Times New Roman" w:hAnsi="Times New Roman" w:cs="Times New Roman"/>
          <w:color w:val="000000"/>
          <w:sz w:val="24"/>
          <w:szCs w:val="24"/>
          <w:lang w:val="en-US" w:eastAsia="zh-CN"/>
        </w:rPr>
        <w:t xml:space="preserve">。在信息加工方面，人的即时信息处理容量存在明确限度</w:t>
      </w:r>
      <w:r>
        <w:rPr>
          <w:rFonts w:hint="eastAsia" w:ascii="Times New Roman" w:hAnsi="Times New Roman" w:cs="Times New Roman"/>
          <w:color w:val="000000"/>
          <w:sz w:val="24"/>
          <w:szCs w:val="24"/>
          <w:lang w:val="en-US" w:eastAsia="zh-CN"/>
          <w:vertAlign w:val="superscript"/>
        </w:rPr>
        <w:t xml:space="preserve">[49]</w:t>
      </w:r>
      <w:r>
        <w:rPr>
          <w:rFonts w:hint="eastAsia" w:ascii="Times New Roman" w:hAnsi="Times New Roman" w:cs="Times New Roman"/>
          <w:color w:val="000000"/>
          <w:sz w:val="24"/>
          <w:szCs w:val="24"/>
          <w:lang w:val="en-US" w:eastAsia="zh-CN"/>
        </w:rPr>
        <w:t xml:space="preserve">，认知负荷理论指出超出容量的信息不仅无法被利用，反而会挤占本应用于关键判断的资源</w:t>
      </w:r>
      <w:r>
        <w:rPr>
          <w:rFonts w:hint="eastAsia" w:ascii="Times New Roman" w:hAnsi="Times New Roman" w:cs="Times New Roman"/>
          <w:color w:val="000000"/>
          <w:sz w:val="24"/>
          <w:szCs w:val="24"/>
          <w:lang w:val="en-US" w:eastAsia="zh-CN"/>
          <w:vertAlign w:val="superscript"/>
        </w:rPr>
        <w:t xml:space="preserve">[50]</w:t>
      </w:r>
      <w:r>
        <w:rPr>
          <w:rFonts w:hint="eastAsia" w:ascii="Times New Roman" w:hAnsi="Times New Roman" w:cs="Times New Roman"/>
          <w:color w:val="000000"/>
          <w:sz w:val="24"/>
          <w:szCs w:val="24"/>
          <w:lang w:val="en-US" w:eastAsia="zh-CN"/>
        </w:rPr>
        <w:t xml:space="preserve">；多重资源理论则说明，视觉与听觉通道的资源相对独立，因而在视觉通道已趋饱和的情境中，适度引入听觉提示可以在不增加视觉负荷的前提下提升信息的到达率</w:t>
      </w:r>
      <w:r>
        <w:rPr>
          <w:rFonts w:hint="eastAsia" w:ascii="Times New Roman" w:hAnsi="Times New Roman" w:cs="Times New Roman"/>
          <w:color w:val="000000"/>
          <w:sz w:val="24"/>
          <w:szCs w:val="24"/>
          <w:lang w:val="en-US" w:eastAsia="zh-CN"/>
          <w:vertAlign w:val="superscript"/>
        </w:rPr>
        <w:t xml:space="preserve">[51]</w:t>
      </w:r>
      <w:r>
        <w:rPr>
          <w:rFonts w:hint="eastAsia" w:ascii="Times New Roman" w:hAnsi="Times New Roman" w:cs="Times New Roman"/>
          <w:color w:val="000000"/>
          <w:sz w:val="24"/>
          <w:szCs w:val="24"/>
          <w:lang w:val="en-US" w:eastAsia="zh-CN"/>
        </w:rPr>
        <w:t xml:space="preserve">。这一系列结论对本课题的直接启示是：安全引导系统的设计目标并非信息量的最大化，而是在关键决策点上以最低的认知代价传递最必要的信息。</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在视觉编码的具体手法上，已有研究表明，色彩、位置、尺寸等视觉变量在前注意加工阶段即可被快速区分，因而适合承担空间归属与等级区分一类的基础信息</w:t>
      </w:r>
      <w:r>
        <w:rPr>
          <w:rFonts w:hint="eastAsia" w:ascii="Times New Roman" w:hAnsi="Times New Roman" w:cs="Times New Roman"/>
          <w:color w:val="000000"/>
          <w:sz w:val="24"/>
          <w:szCs w:val="24"/>
          <w:lang w:val="en-US" w:eastAsia="zh-CN"/>
          <w:vertAlign w:val="superscript"/>
        </w:rPr>
        <w:t xml:space="preserve">[52]</w:t>
      </w:r>
      <w:r>
        <w:rPr>
          <w:rFonts w:hint="eastAsia" w:ascii="Times New Roman" w:hAnsi="Times New Roman" w:cs="Times New Roman"/>
          <w:color w:val="000000"/>
          <w:sz w:val="24"/>
          <w:szCs w:val="24"/>
          <w:lang w:val="en-US" w:eastAsia="zh-CN"/>
        </w:rPr>
        <w:t xml:space="preserve">；同时也有研究提示，色彩的作用不限于区分功能，还会经由联想与情境习得对心理状态与行为倾向产生影响，因而色彩方案的选择需要同时考虑辨识效率与情感含义</w:t>
      </w:r>
      <w:r>
        <w:rPr>
          <w:rFonts w:hint="eastAsia" w:ascii="Times New Roman" w:hAnsi="Times New Roman" w:cs="Times New Roman"/>
          <w:color w:val="000000"/>
          <w:sz w:val="24"/>
          <w:szCs w:val="24"/>
          <w:lang w:val="en-US" w:eastAsia="zh-CN"/>
          <w:vertAlign w:val="superscript"/>
        </w:rPr>
        <w:t xml:space="preserve">[53]</w:t>
      </w:r>
      <w:r>
        <w:rPr>
          <w:rFonts w:hint="eastAsia" w:ascii="Times New Roman" w:hAnsi="Times New Roman" w:cs="Times New Roman"/>
          <w:color w:val="000000"/>
          <w:sz w:val="24"/>
          <w:szCs w:val="24"/>
          <w:lang w:val="en-US" w:eastAsia="zh-CN"/>
        </w:rPr>
        <w:t xml:space="preserve">。本课题采用冷蓝色标识骑行区、暖橙色标识行人区的编码策略，正是基于上述两方面的考虑。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信息传递之外，另有两类思路对安全引导设计具有借鉴意义。其一是助推思想，主张通过改变选择架构而非增加禁令或惩罚，以低成本方式引导人们作出更优选择，其关键在于使期望行为成为更便捷、更显见的默认选项</w:t>
      </w:r>
      <w:r>
        <w:rPr>
          <w:rFonts w:hint="eastAsia" w:ascii="Times New Roman" w:hAnsi="Times New Roman" w:cs="Times New Roman"/>
          <w:color w:val="000000"/>
          <w:sz w:val="24"/>
          <w:szCs w:val="24"/>
          <w:lang w:val="en-US" w:eastAsia="zh-CN"/>
          <w:vertAlign w:val="superscript"/>
        </w:rPr>
        <w:t xml:space="preserve">[54]</w:t>
      </w:r>
      <w:r>
        <w:rPr>
          <w:rFonts w:hint="eastAsia" w:ascii="Times New Roman" w:hAnsi="Times New Roman" w:cs="Times New Roman"/>
          <w:color w:val="000000"/>
          <w:sz w:val="24"/>
          <w:szCs w:val="24"/>
          <w:lang w:val="en-US" w:eastAsia="zh-CN"/>
        </w:rPr>
        <w:t xml:space="preserve">。这一思想与本研究关于骑行者行为主要由工具性因素驱动的实证发现高度契合，也解释了为何“提升合规行为的便利性”往往比“加大违规成本”更为有效。其二是通过环境设计预防失范的思路，该思路强调自然监视、领域感与清晰的空间界定对行为的约束作用</w:t>
      </w:r>
      <w:r>
        <w:rPr>
          <w:rFonts w:hint="eastAsia" w:ascii="Times New Roman" w:hAnsi="Times New Roman" w:cs="Times New Roman"/>
          <w:color w:val="000000"/>
          <w:sz w:val="24"/>
          <w:szCs w:val="24"/>
          <w:lang w:val="en-US" w:eastAsia="zh-CN"/>
          <w:vertAlign w:val="superscript"/>
        </w:rPr>
        <w:t xml:space="preserve">[55-56]</w:t>
      </w:r>
      <w:r>
        <w:rPr>
          <w:rFonts w:hint="eastAsia" w:ascii="Times New Roman" w:hAnsi="Times New Roman" w:cs="Times New Roman"/>
          <w:color w:val="000000"/>
          <w:sz w:val="24"/>
          <w:szCs w:val="24"/>
          <w:lang w:val="en-US" w:eastAsia="zh-CN"/>
        </w:rPr>
        <w:t xml:space="preserve">，其中关于“可见性提升自我约束”的判断，为本课题需求清单中的社会规范可视化一类要素提供了依据。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在设计过程与评价方法方面，用户中心设计强调应以使用者的认知特征与实际任务为设计的出发点</w:t>
      </w:r>
      <w:r>
        <w:rPr>
          <w:rFonts w:hint="eastAsia" w:ascii="Times New Roman" w:hAnsi="Times New Roman" w:cs="Times New Roman"/>
          <w:color w:val="000000"/>
          <w:sz w:val="24"/>
          <w:szCs w:val="24"/>
          <w:lang w:val="en-US" w:eastAsia="zh-CN"/>
          <w:vertAlign w:val="superscript"/>
        </w:rPr>
        <w:t xml:space="preserve">[57]</w:t>
      </w:r>
      <w:r>
        <w:rPr>
          <w:rFonts w:hint="eastAsia" w:ascii="Times New Roman" w:hAnsi="Times New Roman" w:cs="Times New Roman"/>
          <w:color w:val="000000"/>
          <w:sz w:val="24"/>
          <w:szCs w:val="24"/>
          <w:lang w:val="en-US" w:eastAsia="zh-CN"/>
        </w:rPr>
        <w:t xml:space="preserve">，参与式设计则进一步主张使用者不仅是被研究的对象，更应作为共同创造者参与设计过程</w:t>
      </w:r>
      <w:r>
        <w:rPr>
          <w:rFonts w:hint="eastAsia" w:ascii="Times New Roman" w:hAnsi="Times New Roman" w:cs="Times New Roman"/>
          <w:color w:val="000000"/>
          <w:sz w:val="24"/>
          <w:szCs w:val="24"/>
          <w:lang w:val="en-US" w:eastAsia="zh-CN"/>
          <w:vertAlign w:val="superscript"/>
        </w:rPr>
        <w:t xml:space="preserve">[58]</w:t>
      </w:r>
      <w:r>
        <w:rPr>
          <w:rFonts w:hint="eastAsia" w:ascii="Times New Roman" w:hAnsi="Times New Roman" w:cs="Times New Roman"/>
          <w:color w:val="000000"/>
          <w:sz w:val="24"/>
          <w:szCs w:val="24"/>
          <w:lang w:val="en-US" w:eastAsia="zh-CN"/>
        </w:rPr>
        <w:t xml:space="preserve">；在评价环节，可用性工程为交互系统的评估提供了成熟的原则与流程</w:t>
      </w:r>
      <w:r>
        <w:rPr>
          <w:rFonts w:hint="eastAsia" w:ascii="Times New Roman" w:hAnsi="Times New Roman" w:cs="Times New Roman"/>
          <w:color w:val="000000"/>
          <w:sz w:val="24"/>
          <w:szCs w:val="24"/>
          <w:lang w:val="en-US" w:eastAsia="zh-CN"/>
          <w:vertAlign w:val="superscript"/>
        </w:rPr>
        <w:t xml:space="preserve">[59]</w:t>
      </w:r>
      <w:r>
        <w:rPr>
          <w:rFonts w:hint="eastAsia" w:ascii="Times New Roman" w:hAnsi="Times New Roman" w:cs="Times New Roman"/>
          <w:color w:val="000000"/>
          <w:sz w:val="24"/>
          <w:szCs w:val="24"/>
          <w:lang w:val="en-US" w:eastAsia="zh-CN"/>
        </w:rPr>
        <w:t xml:space="preserve">。本课题在需求识别阶段采用深度访谈与参与式设计工作坊，在方案生成阶段引入多方利益相关者的设计工作坊，在验证阶段采用系统可用性量表与出声思维法，均以上述方法论传统为依据。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然而，当前研究未充分从设计角度考虑在校园共享交通环境下行人与非机动车的交通需求和行为动机的关联性，这导致实际产品在实际环境中的适用性大打折扣。</w:t>
      </w:r>
    </w:p>
    <w:p w14:paraId="161E67D6">
      <w:pPr>
        <w:pStyle w:val="4"/>
        <w:rPr>
          <w:rFonts w:hint="default" w:ascii="Times New Roman" w:hAnsi="Times New Roman" w:cs="Times New Roman"/>
          <w:lang w:val="en-US" w:eastAsia="zh-CN"/>
        </w:rPr>
      </w:pPr>
      <w:r>
        <w:rPr>
          <w:rFonts w:hint="default" w:ascii="Times New Roman" w:hAnsi="Times New Roman" w:cs="Times New Roman"/>
          <w:lang w:val="en-US" w:eastAsia="zh-CN"/>
        </w:rPr>
        <w:t>综上所述，国内外研究人员在高校共享道路交通安全领域已积累了相当的研究基础并取得了阶段性进展，但彼此研究间缺乏有机联系，并很少基于理论研究成果生成相匹配的应用策略。综上，本研究认为：目前针对高校共享道路交通冲突机理的系统性研究，以及提升共享道路安全性的实践策略研究均</w:t>
      </w:r>
      <w:r>
        <w:rPr>
          <w:rFonts w:hint="eastAsia" w:ascii="Times New Roman" w:hAnsi="Times New Roman" w:cs="Times New Roman"/>
          <w:lang w:val="en-US" w:eastAsia="zh-CN"/>
        </w:rPr>
        <w:t>相对不足</w:t>
      </w:r>
      <w:r>
        <w:rPr>
          <w:rFonts w:hint="default" w:ascii="Times New Roman" w:hAnsi="Times New Roman" w:cs="Times New Roman"/>
          <w:lang w:val="en-US" w:eastAsia="zh-CN"/>
        </w:rPr>
        <w:t xml:space="preserve">。 </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将上述四个方面的进展合并观察，可以发现既有研究之间存在三处尚未打通的环节。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一处环节在客观识别与主观解释之间。冲突识别技术已能够较为精确地刻画冲突在何时、何地、以何种形式发生，但对于“为何发生”，其解释力止于行为表象，难以回答参与者当时如何判断、依据什么作出选择。反之，行为心理学研究虽能解释意图的形成机制，却大多以自陈问卷为唯一数据来源，缺少与客观冲突数据的对接。两类研究各自成立，但尚未形成相互印证的证据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二处环节在主观感知与客观风险之间。既有研究已经注意到主观评价与客观测量存在不一致，但多将其作为方法学上的信度问题加以处理，鲜有研究将这种不一致本身视为具有实质意义的研究对象，进而追问其分布特征、影响因素与形成机制。而从交通安全的角度看，恰恰是这种系统性的偏离——在何处低估了风险、在何处又过度谨慎——才是干预措施最应当瞄准的靶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第三处环节在理论发现与设计实践之间。已有研究提出了大量安全引导措施，但这些措施与前述行为机理研究之间往往缺乏明确的推导关系，多为经验判断或案例移植的结果。措施为何有效、对哪一类使用者有效、通过何种心理路径起作用，通常未被交代，这既限制了措施的可迁移性，也使其效果难以预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上述三处环节，恰好构成本课题四项子任务的设计依据。研究缺口与子任务之间的对应关系如表5所示。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表5  研究缺口与本课题子任务的对应关系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2300"/>
        <w:gridCol w:w="2900"/>
        <w:gridCol w:w="14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研究缺口</w:t>
            </w:r>
          </w:p>
        </w:tc>
        <w:tc>
          <w:tcPr>
            <w:tcW w:w="2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既有研究的不足</w:t>
            </w:r>
          </w:p>
        </w:tc>
        <w:tc>
          <w:tcPr>
            <w:tcW w:w="2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本课题的应对</w:t>
            </w:r>
          </w:p>
        </w:tc>
        <w:tc>
          <w:tcPr>
            <w:tcW w:w="1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对应子任务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客观识别与主观解释之间缺乏对接</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冲突识别止于行为表象；行为研究缺少客观数据支撑</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以同一校园场域内的冲突观测结果界定热点区域，并以此为背景开展行为机理研究，使两类证据相互锚定</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子任务①与子任务②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主观感知与客观风险的偏离未被作为对象研究</w:t>
            </w:r>
          </w:p>
        </w:tc>
        <w:tc>
          <w:tcPr>
            <w:tcW w:w="2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多将主客观不一致视为信度问题，未追问其分布与成因</w:t>
            </w:r>
          </w:p>
        </w:tc>
        <w:tc>
          <w:tcPr>
            <w:tcW w:w="2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构建客观安全指数与认知偏差系数的量化对照体系，识别偏差的场景类型与影响因素</w:t>
            </w:r>
          </w:p>
        </w:tc>
        <w:tc>
          <w:tcPr>
            <w:tcW w:w="14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理论发现向设计实践的转化路径不明</w:t>
            </w:r>
          </w:p>
        </w:tc>
        <w:tc>
          <w:tcPr>
            <w:tcW w:w="2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引导措施多为经验判断或案例移植，缺乏机理层面的推导</w:t>
            </w:r>
          </w:p>
        </w:tc>
        <w:tc>
          <w:tcPr>
            <w:tcW w:w="2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由行为机理与认知偏差共同推导需求清单，再经需求分层与案例策略提取形成设计方案并加以验证</w:t>
            </w:r>
          </w:p>
        </w:tc>
        <w:tc>
          <w:tcPr>
            <w:tcW w:w="14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子任务③与子任务④</w:t>
            </w:r>
          </w:p>
        </w:tc>
      </w:tr>
    </w:tbl>
    <w:p/>
    <w:p w14:paraId="468C926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2.2课题研究目标</w:t>
      </w:r>
    </w:p>
    <w:p w14:paraId="7D1F2E0A">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本课题的核心研究问题在于：针对高校共享道路的交通冲突机理开展的系统性研究，以及提升共享道路安全性的实践策略研究均相对不足。  </w:t>
      </w:r>
    </w:p>
    <w:p w14:paraId="110E05A9">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因此，为解决以上研究问题，研究目标如下：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 </w:t>
      </w:r>
    </w:p>
    <w:p w14:paraId="5C328F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4"/>
          <w:lang w:val="en-US" w:eastAsia="zh-CN" w:bidi="ar-SA"/>
        </w:rPr>
      </w:pPr>
    </w:p>
    <w:p w14:paraId="29BAA49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3课题研究路径</w:t>
      </w:r>
      <w:r>
        <w:rPr>
          <w:rFonts w:hint="eastAsia" w:ascii="黑体" w:hAnsi="黑体" w:eastAsia="黑体"/>
          <w:b w:val="0"/>
          <w:bCs w:val="0"/>
          <w:sz w:val="30"/>
          <w:szCs w:val="30"/>
          <w:lang w:val="en-US" w:eastAsia="zh-CN"/>
        </w:rPr>
        <w:t>与方法</w:t>
      </w:r>
    </w:p>
    <w:p w14:paraId="6B899940">
      <w:pPr>
        <w:pStyle w:val="4"/>
        <w:rPr>
          <w:rFonts w:hint="default" w:ascii="Times New Roman" w:hAnsi="Times New Roman" w:cs="Times New Roman"/>
          <w:lang w:val="en-US" w:eastAsia="zh-CN"/>
        </w:rPr>
      </w:pPr>
      <w:r>
        <w:rPr>
          <w:rFonts w:hint="default" w:ascii="Times New Roman" w:hAnsi="Times New Roman" w:cs="Times New Roman"/>
          <w:lang w:val="en-US" w:eastAsia="zh-CN"/>
        </w:rPr>
        <w:t>基于研究问题和目标，本课题构建了四项循序渐进的研究任务</w:t>
      </w:r>
      <w:r>
        <w:rPr>
          <w:rFonts w:hint="eastAsia" w:ascii="Times New Roman" w:hAnsi="Times New Roman" w:cs="Times New Roman"/>
          <w:lang w:val="en-US" w:eastAsia="zh-CN"/>
        </w:rPr>
        <w:t>：第一，高校共享道路交通冲突特征识别</w:t>
      </w:r>
      <w:r>
        <w:rPr>
          <w:rFonts w:hint="default" w:ascii="Times New Roman" w:hAnsi="Times New Roman" w:cs="Times New Roman"/>
          <w:lang w:val="en-US" w:eastAsia="zh-CN"/>
        </w:rPr>
        <w:t>；</w:t>
      </w:r>
      <w:r>
        <w:rPr>
          <w:rFonts w:hint="eastAsia" w:ascii="Times New Roman" w:hAnsi="Times New Roman" w:cs="Times New Roman"/>
          <w:lang w:val="en-US" w:eastAsia="zh-CN"/>
        </w:rPr>
        <w:t>第二，共享道路冲突主体安全认知与行为意图作用机理研究</w:t>
      </w:r>
      <w:r>
        <w:rPr>
          <w:rFonts w:hint="default" w:ascii="Times New Roman" w:hAnsi="Times New Roman" w:cs="Times New Roman"/>
          <w:lang w:val="en-US" w:eastAsia="zh-CN"/>
        </w:rPr>
        <w:t>；</w:t>
      </w:r>
      <w:r>
        <w:rPr>
          <w:rFonts w:hint="eastAsia" w:ascii="Times New Roman" w:hAnsi="Times New Roman" w:cs="Times New Roman"/>
          <w:lang w:val="en-US" w:eastAsia="zh-CN"/>
        </w:rPr>
        <w:t>第三，</w:t>
      </w:r>
      <w:r>
        <w:rPr>
          <w:rFonts w:hint="default" w:ascii="Times New Roman" w:hAnsi="Times New Roman" w:cs="Times New Roman"/>
          <w:lang w:val="en-US" w:eastAsia="zh-CN"/>
        </w:rPr>
        <w:t>共享道路交通冲突主体认知偏差与需求分析；</w:t>
      </w:r>
      <w:r>
        <w:rPr>
          <w:rFonts w:hint="eastAsia" w:ascii="Times New Roman" w:hAnsi="Times New Roman" w:cs="Times New Roman"/>
          <w:lang w:val="en-US" w:eastAsia="zh-CN"/>
        </w:rPr>
        <w:t>第四，</w:t>
      </w:r>
      <w:r>
        <w:rPr>
          <w:rFonts w:hint="default" w:ascii="Times New Roman" w:hAnsi="Times New Roman" w:cs="Times New Roman"/>
          <w:lang w:val="en-US" w:eastAsia="zh-CN"/>
        </w:rPr>
        <w:t>高校共享道路安全引导策略生成与验证。四项研究子任务基于“特征识别</w:t>
      </w:r>
      <w:r>
        <w:rPr>
          <w:rFonts w:hint="eastAsia" w:ascii="Times New Roman" w:hAnsi="Times New Roman" w:cs="Times New Roman"/>
          <w:lang w:val="en-US" w:eastAsia="zh-CN"/>
        </w:rPr>
        <w:t>-</w:t>
      </w:r>
      <w:r>
        <w:rPr>
          <w:rFonts w:hint="default" w:ascii="Times New Roman" w:hAnsi="Times New Roman" w:cs="Times New Roman"/>
          <w:lang w:val="en-US" w:eastAsia="zh-CN"/>
        </w:rPr>
        <w:t>模型构建-需求识别-</w:t>
      </w:r>
      <w:r>
        <w:rPr>
          <w:rFonts w:hint="eastAsia" w:ascii="Times New Roman" w:hAnsi="Times New Roman" w:cs="Times New Roman"/>
          <w:lang w:val="en-US" w:eastAsia="zh-CN"/>
        </w:rPr>
        <w:t>策略生成</w:t>
      </w:r>
      <w:r>
        <w:rPr>
          <w:rFonts w:hint="default" w:ascii="Times New Roman" w:hAnsi="Times New Roman" w:cs="Times New Roman"/>
          <w:lang w:val="en-US" w:eastAsia="zh-CN"/>
        </w:rPr>
        <w:t>”的研究框架，形成</w:t>
      </w:r>
      <w:r>
        <w:rPr>
          <w:rFonts w:hint="eastAsia" w:ascii="Times New Roman" w:hAnsi="Times New Roman" w:cs="Times New Roman"/>
          <w:lang w:val="en-US" w:eastAsia="zh-CN"/>
        </w:rPr>
        <w:t>了完整的</w:t>
      </w:r>
      <w:r>
        <w:rPr>
          <w:rFonts w:hint="default" w:ascii="Times New Roman" w:hAnsi="Times New Roman" w:cs="Times New Roman"/>
          <w:lang w:val="en-US" w:eastAsia="zh-CN"/>
        </w:rPr>
        <w:t>技术路线</w:t>
      </w:r>
      <w:r>
        <w:rPr>
          <w:rFonts w:hint="eastAsia" w:ascii="Times New Roman" w:hAnsi="Times New Roman" w:cs="Times New Roman"/>
          <w:lang w:val="en-US" w:eastAsia="zh-CN"/>
        </w:rPr>
        <w:t>（如图1所示）</w:t>
      </w:r>
      <w:r>
        <w:rPr>
          <w:rFonts w:hint="default" w:ascii="Times New Roman" w:hAnsi="Times New Roman" w:cs="Times New Roman"/>
          <w:lang w:val="en-US" w:eastAsia="zh-CN"/>
        </w:rPr>
        <w:t>。</w:t>
      </w:r>
    </w:p>
    <w:p w14:paraId="5005586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center"/>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kern w:val="2"/>
          <w:sz w:val="24"/>
          <w:szCs w:val="24"/>
          <w:lang w:eastAsia="zh-CN" w:bidi="ar-SA"/>
        </w:rPr>
        <w:drawing>
          <wp:anchor distT="0" distB="0" distL="114300" distR="114300" simplePos="0" relativeHeight="251670528" behindDoc="0" locked="0" layoutInCell="1" allowOverlap="1">
            <wp:simplePos x="0" y="0"/>
            <wp:positionH relativeFrom="column">
              <wp:posOffset>299720</wp:posOffset>
            </wp:positionH>
            <wp:positionV relativeFrom="paragraph">
              <wp:posOffset>94615</wp:posOffset>
            </wp:positionV>
            <wp:extent cx="4675505" cy="4726305"/>
            <wp:effectExtent l="0" t="0" r="0" b="0"/>
            <wp:wrapSquare wrapText="bothSides"/>
            <wp:docPr id="4" name="图片 4" descr="C:/Users/zm/Desktop/【新【2025-武汉市社科联-技术路线.png【新【2025-武汉市社科联-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zm/Desktop/【新【2025-武汉市社科联-技术路线.png【新【2025-武汉市社科联-技术路线"/>
                    <pic:cNvPicPr>
                      <a:picLocks noChangeAspect="1"/>
                    </pic:cNvPicPr>
                  </pic:nvPicPr>
                  <pic:blipFill>
                    <a:blip r:embed="rId8"/>
                    <a:srcRect t="308" b="919"/>
                    <a:stretch>
                      <a:fillRect/>
                    </a:stretch>
                  </pic:blipFill>
                  <pic:spPr>
                    <a:xfrm>
                      <a:off x="0" y="0"/>
                      <a:ext cx="4675505" cy="4726305"/>
                    </a:xfrm>
                    <a:prstGeom prst="rect">
                      <a:avLst/>
                    </a:prstGeom>
                  </pic:spPr>
                </pic:pic>
              </a:graphicData>
            </a:graphic>
          </wp:anchor>
        </w:drawing>
      </w:r>
      <w:r>
        <w:rPr>
          <w:rFonts w:hint="default" w:ascii="Times New Roman" w:hAnsi="Times New Roman" w:eastAsia="宋体" w:cs="Times New Roman"/>
          <w:sz w:val="24"/>
          <w:szCs w:val="24"/>
          <w:lang w:val="en-US" w:eastAsia="zh-CN"/>
        </w:rPr>
        <w:t>图1</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lang w:val="en-US" w:eastAsia="zh-CN"/>
        </w:rPr>
        <w:t>本课题技术路线图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方法论层面，本课题采用混合方法研究范式。作出这一选择，是由研究问题本身的性质决定的：交通冲突在何时、何地、以何种形式发生，是一个需要客观观测与统计描述才能回答的问题；而参与者为何如此行动、其判断依据为何，则是一个需要理解意义、还原过程才能回答的问题。前者要求定量方法，后者要求定性方法，二者缺一不可。若仅有定量观测，研究将止于对冲突现象的描述，无法解释其成因；若仅有定性访谈，研究则缺乏对问题规模与分布的客观刻画，其结论难以支撑资源配置的判断。</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具体设计上，本课题采用探索性时序设计，即定量与定性方法并非平行展开，而是按先后顺序相互衔接、彼此供给。子任务①以视频观测所获得的客观冲突数据，界定问题的空间边界与行为边界，其结果为子任务②的抽样与情境设定提供了背景；子任务②以结构方程模型揭示行为意图的形成机理，其所识别的关键变量为子任务③的场景变量设定提供了依据；子任务③以主客观对照量化认知偏差，并经由深度访谈与参与式工作坊，将偏差转化为可操作的设计需求；子任务④则以需求清单为输入生成设计方案，并回到量化评估完成验证。四项子任务之间是逐级供给的关系，而非彼此独立的并列罗列，这也是本课题技术路线的核心特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提升结论的可信度，本课题在多个环节安排了三角互证。在数据来源上，同一问题往往同时借助观测数据、问卷数据与访谈资料加以考察，例如注意力分散行为既由视频标注计次，也由访谈材料还原其发生情境与行为动机；在方法层面，定量结果与定性发现相互检验，例如回归分析所显示的“视距条件未进入显著模型”这一结果，与访谈中受访者极少主动提及视线遮挡的现象彼此印证，两者共同支持了“视距风险被系统性忽略”的判断；在研究者层面，视频标注与访谈编码均采用双人独立作业并计算一致性，以降低单一研究者判断偏好所带来的影响。本课题四项子任务的整体研究设计如表6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表6  本课题研究设计矩阵</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1900"/>
        <w:gridCol w:w="1900"/>
        <w:gridCol w:w="1800"/>
        <w:gridCol w:w="16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子任务</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研究问题</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主要方法</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数据来源</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主要产出</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①冲突特征识别</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冲突在何时、何地、以何种行为形式发生</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视频观测、冲突技术、半结构化访谈、问卷调查</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12个点位的视频记录、53人次访谈、132份问卷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冲突热点分布、行为模式清单、环境要素相关性</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②行为机理研究</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安全认知如何转化为行为意图，两类主体有何差异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量表开发、分层抽样、结构方程模型、多群组分析</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232份有效问卷</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行人与骑行者的行为决策模型</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③认知偏差与需求</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主观感知与客观风险的偏离分布如何，成因为何</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AIGC场景实验、主客观对照、深度访谈、参与式工作坊</w:t>
            </w:r>
          </w:p>
        </w:tc>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870个场景评分、30人访谈、3场工作坊</w:t>
            </w:r>
          </w:p>
        </w:tc>
        <w:tc>
          <w:tcPr>
            <w:tcW w:w="16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认知偏差测度结果、安全引导需求清单</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④策略生成与验证</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需求如何转化为设计方案，方案效果如何</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需求分层、案例研究、参与式设计、可用性测试、模型测算</w:t>
            </w:r>
          </w:p>
        </w:tc>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86份Kano问卷、20个案例、26人评估</w:t>
            </w:r>
          </w:p>
        </w:tc>
        <w:tc>
          <w:tcPr>
            <w:tcW w:w="16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安全引导系统设计原型与评估结论</w:t>
            </w:r>
          </w:p>
        </w:tc>
      </w:tr>
    </w:tbl>
    <w:p/>
    <w:p w14:paraId="32F3436C">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sz w:val="24"/>
          <w:szCs w:val="24"/>
          <w:lang w:val="en-US" w:eastAsia="zh-CN"/>
        </w:rPr>
      </w:pPr>
    </w:p>
    <w:p w14:paraId="47C4B8D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3.1高校共享道路交通冲突特征识别</w:t>
      </w:r>
      <w:r>
        <w:rPr>
          <w:rFonts w:hint="eastAsia" w:ascii="黑体" w:hAnsi="黑体" w:eastAsia="黑体"/>
          <w:b w:val="0"/>
          <w:bCs w:val="0"/>
          <w:sz w:val="30"/>
          <w:szCs w:val="30"/>
          <w:lang w:val="en-US" w:eastAsia="zh-CN"/>
        </w:rPr>
        <w:t>方法</w:t>
      </w:r>
    </w:p>
    <w:p w14:paraId="0506DF13">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通过对高校共享道路的主要交通参与者（行人与骑行者）在校园共享道路中互动行为的观察与分析，揭示在何种情境下易发生冲突以及冲突的严重程度分布，为后续研究提供客观的研究基线。该任务将明确行人与骑行者在校园共享道路中的冲突热点区域，并梳理影响共享空间校园交通安全的关键行为模式。具体研究路径如下。</w:t>
      </w:r>
    </w:p>
    <w:p w14:paraId="0BAB016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第一，基于民族志、访谈法及问卷调研法确定校园内人流车流密集且事故隐患较高的观察点，布设摄像设备获取行人与骑行者间的冲突数据；</w:t>
      </w:r>
    </w:p>
    <w:p w14:paraId="104A5DD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第二，基于视频分析与人工智能工具共同提取冲突事件，建立“时间-空间-行为”数据，归纳冲突的发生地点、情境和行为类型清单；</w:t>
      </w:r>
    </w:p>
    <w:p w14:paraId="07628E4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第三，基于分析获得的冲突数据生成冲突热点图，突出行人与骑行者在校园共享空间中冲突高发的路段；</w:t>
      </w:r>
    </w:p>
    <w:p w14:paraId="5D56F18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第四，将热点区域的环境特征（如交通组织、标志标线情况）与行为模式对应分析，形成对风险成因的初步假设。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视频观测而非事故统计作为主要数据来源，原因在于校园内经正式登记的交通事故数量极少，且大量轻微冲突通常不会被记录，若以事故数据为基础，将无法获得足以支撑分析的样本量；而交通冲突技术所依据的前提，正是大量轻微交互与少量事故之间存在可推断的统计关联，因此以冲突事件替代事故进行安全评价，在样本可得性与时效性两方面均更具优势。在信度保障上，本任务采取三项措施：观测点位经实地踏勘与专家咨询共同确定，避免选点偏倚；标注环节由两名标注员对部分样本独立作业并计算一致性，不一致处提交专家裁定；设备状态与采集完整性按周核查并留存记录。在伦理方面，观测点位均设于公共通行区域，方案事前报请学校管理部门审核，现场设置观测告示，录像资料仅用于行为编码，完成标注后即作脱敏处理，具体安排详见附录G。</w:t>
      </w:r>
    </w:p>
    <w:p w14:paraId="20725C4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3.2</w:t>
      </w:r>
      <w:r>
        <w:rPr>
          <w:rFonts w:hint="eastAsia" w:ascii="黑体" w:hAnsi="黑体" w:eastAsia="黑体"/>
          <w:b w:val="0"/>
          <w:bCs w:val="0"/>
          <w:sz w:val="30"/>
          <w:szCs w:val="30"/>
          <w:lang w:val="en-US" w:eastAsia="zh-CN"/>
        </w:rPr>
        <w:t>共享道路冲突主体安全认知与行为意图作用机理研究方法</w:t>
      </w:r>
    </w:p>
    <w:p w14:paraId="4CD4D7FA">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针对子任务①调研所得的热点冲突区域，旨在构建解释共享交通参与者安全感知与交通行为意图之间关系的心理学结构模型，通过量化影响安全感知、风险态度以及违规或守规意向的关键心理因素，揭示行人与骑行者在校园共享道路中行动决策机制上的差异。该任务将建立结构方程模型，以阐明安全感知如何作用于行为意图并识别主要影响路径，为后续针对性干预设计提供理论支撑。具体研究路径如下。</w:t>
      </w:r>
    </w:p>
    <w:p w14:paraId="48D40B50">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第一，基于计划行为理论（TPB）、合理行为理论（TRA）和技术接受模型（TAM）构建整合理论框架，并形成相关量表问卷，且量表内容涵盖态度、主观规范、知觉行为控制、感知有用性和易用性等维度；</w:t>
      </w:r>
    </w:p>
    <w:p w14:paraId="366190F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第二，基于分层抽样法向校园中共享道路参与者发放问卷，收集安全感知水平、过往冲突经历及行为意图等数据，获取有效样本用于模型构建；</w:t>
      </w:r>
    </w:p>
    <w:p w14:paraId="2626730C">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第三，基于结构方程模型（SEM）进行验证性因子分析和路径分析，采用逐步回归和多群组分析检验行人与骑行者的路径差异；</w:t>
      </w:r>
    </w:p>
    <w:p w14:paraId="22B44525">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第四，通过模型比较分析高校共享道路的主要交通参与者在心理机制上的异同，提取各自行为意图的决定性因素，分别形成行人与骑行者参与校园共享道路的行为决策模型。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选择结构方程模型而非一般回归分析，原因在于研究所涉及的安全态度、主观规范、知觉行为控制等均属无法直接观测的潜在构念，需要借助多个题项间接测量，且构念之间存在多重中介关系；结构方程模型能够同时估计测量模型与结构模型，在处理测量误差与检验中介路径两方面，均较一般回归分析更为适宜。在效度保障上，本任务的量表题项来源于既有成熟量表，并结合校园情境改写，经专家语言评估与预试筛选形成正式问卷；在正式分析阶段，先检验测量模型的信度、收敛效度与区分效度，确认测量质量之后再检验结构模型，以避免在测量工具尚未得到验证的情况下直接解释路径系数。在伦理方面，问卷不采集可识别个人身份的信息，参与者在填答前获知研究目的与数据用途，并可随时终止填答。</w:t>
      </w:r>
    </w:p>
    <w:p w14:paraId="0397DA5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3.3共享道路交通冲突主体认知偏差与需求分析</w:t>
      </w:r>
      <w:r>
        <w:rPr>
          <w:rFonts w:hint="eastAsia" w:ascii="黑体" w:hAnsi="黑体" w:eastAsia="黑体"/>
          <w:b w:val="0"/>
          <w:bCs w:val="0"/>
          <w:sz w:val="30"/>
          <w:szCs w:val="30"/>
          <w:lang w:val="en-US" w:eastAsia="zh-CN"/>
        </w:rPr>
        <w:t>方法</w:t>
      </w:r>
    </w:p>
    <w:p w14:paraId="7C1784FF">
      <w:pPr>
        <w:pStyle w:val="4"/>
        <w:rPr>
          <w:rFonts w:hint="default" w:ascii="Times New Roman" w:hAnsi="Times New Roman" w:cs="Times New Roman"/>
          <w:lang w:val="en-US" w:eastAsia="zh-CN"/>
        </w:rPr>
      </w:pPr>
      <w:r>
        <w:rPr>
          <w:rFonts w:hint="default" w:ascii="Times New Roman" w:hAnsi="Times New Roman" w:cs="Times New Roman"/>
          <w:lang w:val="en-US" w:eastAsia="zh-CN"/>
        </w:rPr>
        <w:t>本研究旨在深入探究高校共享道路客观交通环境要素差异对共享道路参与者主观认知的影响，通过对认知偏差的量化揭示哪些路段或道路要素被用户低估了风险或高估了安全性，并分析导致认知偏差的潜在因素。本研究将识别出需要改进的共享道路交通环境要素以及契合行人与骑行者需求的引导信息类型，从而为安全引导系统设计策略的形成提供实证支撑。 具体研究路径如下。</w:t>
      </w:r>
    </w:p>
    <w:p w14:paraId="1240CCCF">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第一，利用焦点小组通过基于AI生成相应场景的模拟图片探讨受试者在不同设计条件下的主观紧张度和生理反应，获取主观感受的多维数据；</w:t>
      </w:r>
    </w:p>
    <w:p w14:paraId="4AD611BA">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第二，基于相关性分析和偏差系数计算，将主观评分与子任务①中热点冲突区域交通环境特征进行统计比对，识别存在显著认知偏差的路段，剖析视觉线索缺乏、交通规则意识不足等差异成因；</w:t>
      </w:r>
    </w:p>
    <w:p w14:paraId="240EFDB6">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第三，基于深度访谈和用户参与式设计，提炼出在校园共享道路空间中面向共享道路主要参与者的具体需求，构建面向高校共享道路的安全引导策略清单。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之所以采用人工智能生成的标准化场景图片而非实地照片作为刺激材料，原因在于认知偏差的测度要求对环境变量进行精确控制：若使用实地照片，各环境变量之间高度耦合，难以判断评分差异究竟由哪一要素引起；而生成式方法可以在保持其他条件不变的前提下逐一改变单个变量，从而使主效应与关键交互效应的估计成为可能。为控制生成图像可能带来的失真，本任务安排了三轮迭代：先由设计专家评估真实度与清晰度，再由目标群体预试评估可理解性与场景辨识度，据此调整光照、视角与细节，最终形成实验刺激库。在效度保障上，主观评分与客观指标采用一致的量程以便直接比对，客观指标的权重经两轮专家咨询确定，偏差阈值则参照既有文献与预试结果设定。在伦理方面，场景图片不含可识别的真实人物，访谈与工作坊材料均作匿名化处理。</w:t>
      </w:r>
    </w:p>
    <w:p w14:paraId="1860B42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3.</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r>
        <w:rPr>
          <w:rFonts w:hint="eastAsia" w:ascii="黑体" w:hAnsi="黑体" w:eastAsia="黑体"/>
          <w:b w:val="0"/>
          <w:bCs w:val="0"/>
          <w:sz w:val="30"/>
          <w:szCs w:val="30"/>
          <w:lang w:val="en-US" w:eastAsia="zh-CN"/>
        </w:rPr>
        <w:t>方法</w:t>
      </w:r>
    </w:p>
    <w:p w14:paraId="62FE1BB6">
      <w:pPr>
        <w:pStyle w:val="4"/>
        <w:rPr>
          <w:rFonts w:hint="default" w:ascii="Times New Roman" w:hAnsi="Times New Roman" w:cs="Times New Roman"/>
          <w:lang w:val="en-US" w:eastAsia="zh-CN"/>
        </w:rPr>
      </w:pPr>
      <w:r>
        <w:rPr>
          <w:rFonts w:hint="default" w:ascii="Times New Roman" w:hAnsi="Times New Roman" w:cs="Times New Roman"/>
          <w:lang w:val="en-US" w:eastAsia="zh-CN"/>
        </w:rPr>
        <w:t>本任务旨在生成高校共享道路的具体安全引导策略，并基于设计学视角构建一套视觉车道引导系统的设计原型，通过道路标识、标线、色彩引导、动态提示装置等视觉元素，改善共享道路主要参与者对空间的感知和行为决策。该任务将构建形成融合人因工程和交互设计原则的系统化解决方案，并进行相应的可用性验证。具体研究路径如下。</w:t>
      </w:r>
    </w:p>
    <w:p w14:paraId="1AEE79D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第一，基于子任务③获取的面向高校共享道路的安全引导策略清单，筛选具体的安全引导策略；</w:t>
      </w:r>
    </w:p>
    <w:p w14:paraId="497781B2">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第二，基于设计策略，开展多方案概念设计，通过专家评审和参与式设计确定综合方案，完成包含平面布置、立面提示、信息设计等详细设计内容；</w:t>
      </w:r>
    </w:p>
    <w:p w14:paraId="018799FB">
      <w:pPr>
        <w:pStyle w:val="4"/>
        <w:rPr>
          <w:rFonts w:hint="default" w:ascii="Times New Roman" w:hAnsi="Times New Roman" w:cs="Times New Roman"/>
          <w:lang w:val="en-US" w:eastAsia="zh-CN"/>
        </w:rPr>
      </w:pPr>
      <w:r>
        <w:rPr>
          <w:rFonts w:hint="default" w:ascii="Times New Roman" w:hAnsi="Times New Roman" w:cs="Times New Roman"/>
          <w:lang w:val="en-US" w:eastAsia="zh-CN"/>
        </w:rPr>
        <w:t>第三，基于数字建模和原型制作技术，将视觉引导系统嵌入典型校园场景，形成中等保真度的测试原型，基于系统可用性量表（SUS - System Usability Scale）对其进行可用性测试并进行调整；</w:t>
      </w:r>
    </w:p>
    <w:p w14:paraId="52237131">
      <w:pPr>
        <w:pStyle w:val="4"/>
        <w:rPr>
          <w:rFonts w:hint="default" w:ascii="Times New Roman" w:hAnsi="Times New Roman" w:cs="Times New Roman"/>
          <w:lang w:val="en-US" w:eastAsia="zh-CN"/>
        </w:rPr>
      </w:pPr>
      <w:r>
        <w:rPr>
          <w:rFonts w:hint="default" w:ascii="Times New Roman" w:hAnsi="Times New Roman" w:cs="Times New Roman"/>
          <w:lang w:val="en-US" w:eastAsia="zh-CN"/>
        </w:rPr>
        <w:t>第四，基于AI生成相应场景的模拟图片，利用BLOS及 PUCE 模型对设计原型进行安全性量化评估，以验证系统在减少冲突事件、规范通行行为方面的效能，并对设计原型进行优化和调整。</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任务在方法上兼顾生成与验证两个方向。在生成方向，采用参与式设计与案例研究相结合的路径：前者确保设计方案回应真实使用者的需求，而非设计者的主观设想；后者则为方案提供经过实践检验的策略参照，避免从零构想所带来的不确定性。在验证方向，采用主观评价与客观测算并行的策略：系统可用性量表与出声思维法用于考察使用者能否理解并顺畅使用该系统，属主观维度；自行车服务水平模型与路径使用者舒适度评估则用于测算方案在通行品质上的改善幅度，属客观维度。两者结合，可以避免仅凭使用者好评或仅凭指标改善作出片面判断。需要说明的是，本任务的验证在模拟环境中完成，尚未进入实地部署阶段，这一局限已在5.2节中予以说明。</w:t>
      </w:r>
    </w:p>
    <w:p w14:paraId="60C7FD38">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Times New Roman" w:hAnsi="Times New Roman" w:eastAsia="宋体" w:cs="Times New Roman"/>
          <w:kern w:val="2"/>
          <w:sz w:val="24"/>
          <w:szCs w:val="24"/>
          <w:lang w:val="en-US" w:eastAsia="zh-CN" w:bidi="ar-SA"/>
        </w:rPr>
      </w:pPr>
    </w:p>
    <w:p w14:paraId="272DF3A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课题</w:t>
      </w:r>
      <w:r>
        <w:rPr>
          <w:rFonts w:hint="default" w:ascii="黑体" w:hAnsi="黑体" w:eastAsia="黑体"/>
          <w:b w:val="0"/>
          <w:bCs w:val="0"/>
          <w:sz w:val="30"/>
          <w:szCs w:val="30"/>
          <w:lang w:val="en-US" w:eastAsia="zh-CN"/>
        </w:rPr>
        <w:t>研究流程及结果</w:t>
      </w:r>
    </w:p>
    <w:p w14:paraId="287AA0DF">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4.1高校共享道路交通</w:t>
      </w:r>
      <w:r>
        <w:rPr>
          <w:rFonts w:hint="eastAsia" w:ascii="黑体" w:hAnsi="黑体" w:eastAsia="黑体"/>
          <w:b w:val="0"/>
          <w:bCs w:val="0"/>
          <w:sz w:val="30"/>
          <w:szCs w:val="30"/>
          <w:lang w:val="en-US" w:eastAsia="zh-CN"/>
        </w:rPr>
        <w:t>冲突</w:t>
      </w:r>
      <w:r>
        <w:rPr>
          <w:rFonts w:hint="default" w:ascii="黑体" w:hAnsi="黑体" w:eastAsia="黑体"/>
          <w:b w:val="0"/>
          <w:bCs w:val="0"/>
          <w:sz w:val="30"/>
          <w:szCs w:val="30"/>
          <w:lang w:val="en-US" w:eastAsia="zh-CN"/>
        </w:rPr>
        <w:t>识别</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共享道路（Shared Space）概念最早由荷兰交通工程师Hans Monderman提出</w:t>
      </w:r>
      <w:r>
        <w:rPr>
          <w:rFonts w:hint="default" w:ascii="Times New Roman" w:hAnsi="Times New Roman" w:cs="Times New Roman"/>
          <w:lang w:val="en-US" w:eastAsia="zh-CN"/>
          <w:vertAlign w:val="superscript"/>
        </w:rPr>
        <w:t xml:space="preserve">[5]</w:t>
      </w:r>
      <w:r>
        <w:rPr>
          <w:rFonts w:hint="default" w:ascii="Times New Roman" w:hAnsi="Times New Roman" w:cs="Times New Roman"/>
          <w:lang w:val="en-US" w:eastAsia="zh-CN"/>
        </w:rPr>
        <w:t xml:space="preserve">，强调通过模糊化道路边界、减少交通标识等设计手段，促使不同交通参与者通过眼神交流和社会协商来协调路权使用。这一理念在欧洲多个城市的实践中取得了积极成效，但其在高密度、高流量的校园环境中的适用性仍存在争议</w:t>
      </w:r>
      <w:r>
        <w:rPr>
          <w:rFonts w:hint="default" w:ascii="Times New Roman" w:hAnsi="Times New Roman" w:cs="Times New Roman"/>
          <w:lang w:val="en-US" w:eastAsia="zh-CN"/>
          <w:vertAlign w:val="superscript"/>
        </w:rPr>
        <w:t xml:space="preserve">[10-11]</w:t>
      </w:r>
      <w:r>
        <w:rPr>
          <w:rFonts w:hint="default" w:ascii="Times New Roman" w:hAnsi="Times New Roman" w:cs="Times New Roman"/>
          <w:lang w:val="en-US" w:eastAsia="zh-CN"/>
        </w:rPr>
        <w:t xml:space="preserve">。从设计学的视角来看，高校共享道路不仅是一个物理空间，更是一个复杂的“人-环境-行为”交互系统</w:t>
      </w:r>
      <w:r>
        <w:rPr>
          <w:rFonts w:hint="default" w:ascii="Times New Roman" w:hAnsi="Times New Roman" w:cs="Times New Roman"/>
          <w:lang w:val="en-US" w:eastAsia="zh-CN"/>
          <w:vertAlign w:val="superscript"/>
        </w:rPr>
        <w:t xml:space="preserve">[60-61]</w:t>
      </w:r>
      <w:r>
        <w:rPr>
          <w:rFonts w:hint="default" w:ascii="Times New Roman" w:hAnsi="Times New Roman" w:cs="Times New Roman"/>
          <w:lang w:val="en-US" w:eastAsia="zh-CN"/>
        </w:rPr>
        <w:t xml:space="preserve">。在此系统中，不同共享道路交通参与者的认知差异、行为模式和空间需求相互作用，共同塑造了道路使用的现实图景。行人追求步行的自由度和安全感，骑行者关注通行效率和路线连续性，两者在共享道路中的需求冲突构成了校园交通安全问题的核心矛盾。因此，深入理解此类冲突的分布特征、发生机制和影响因素，对于设计有效的安全引导系统具有重要的理论价值和实践意义。</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研究场地选择湖北工业大学主校区作为典型案例，该校区占地面积约1600亩，在校师生约3万人，校园内道路总长约8公里，道路总面积约63500平方米，具有典型的中国高校校园交通特征。本研究立足于人本设计理念，通过系统的实证研究方法，旨在揭示校园共享道路的主要交通参与者，即行人与骑行者冲突的分布规律和特征模式。因此，本任务研究将解释：冲突事件在时空维度上如何分布？哪些行为模式容易引发冲突？交通环境特征要素如何影响冲突的发生？通过解答以上研究问题，本研究期望为后续的设计介入提供科学依据，最终构建一个安全、高效、人性化的校园道路共享交通系统。</w:t>
      </w:r>
    </w:p>
    <w:p w14:paraId="673CF6B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4.1.1</w:t>
      </w:r>
      <w:r>
        <w:rPr>
          <w:rFonts w:hint="eastAsia" w:ascii="黑体" w:hAnsi="黑体" w:eastAsia="黑体"/>
          <w:b w:val="0"/>
          <w:bCs w:val="0"/>
          <w:sz w:val="30"/>
          <w:szCs w:val="30"/>
          <w:lang w:val="en-US" w:eastAsia="zh-CN"/>
        </w:rPr>
        <w:t>校园共享交通道路冲突事件的数据采集</w:t>
      </w:r>
    </w:p>
    <w:p w14:paraId="79EABB6B">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本研究采用混合方法研究设计，整合定量观察与定性访谈，以获得对校园共享道路冲突现象的全面理解。研究</w:t>
      </w:r>
      <w:r>
        <w:rPr>
          <w:rFonts w:hint="eastAsia" w:ascii="Times New Roman" w:hAnsi="Times New Roman" w:cs="Times New Roman"/>
          <w:lang w:val="en-US" w:eastAsia="zh-CN"/>
        </w:rPr>
        <w:t>共</w:t>
      </w:r>
      <w:r>
        <w:rPr>
          <w:rFonts w:hint="default" w:ascii="Times New Roman" w:hAnsi="Times New Roman" w:cs="Times New Roman"/>
          <w:lang w:val="en-US" w:eastAsia="zh-CN"/>
        </w:rPr>
        <w:t>分为四个阶段：（1）研究准备阶段，通过实地踏勘和初步观察确定研究范围和观察点；（2）数据采集阶段，部署视频设备进行长期观察，同时开展深度访谈；（3）数据分析阶段，运用计算机视觉技术提取冲突事件，结合人工标注确保准确性，并基于时间冲突指标（Time-to-Collision,TTC）对冲突进行分类；（4）结果验证阶段，通过专家评议和用户反馈验证研究发现的有效性。</w:t>
      </w:r>
    </w:p>
    <w:p w14:paraId="776ABD79">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（1）研究准备阶段</w:t>
      </w:r>
    </w:p>
    <w:p>
      <w:pPr>
        <w:pStyle w:val="4"/>
        <w:rPr>
          <w:rFonts w:hint="default" w:ascii="Times New Roman" w:hAnsi="Times New Roman" w:cs="Times New Roman"/>
          <w:lang w:val="en-US" w:eastAsia="zh-CN"/>
        </w:rPr>
      </w:pPr>
      <w:r>
        <w:rPr>
          <w:rFonts w:hint="default" w:ascii="Times New Roman" w:hAnsi="Times New Roman" w:cs="Times New Roman"/>
          <w:lang w:val="en-US" w:eastAsia="zh-CN"/>
        </w:rPr>
        <w:t xml:space="preserve">实验准备阶段历时一个月，主要完成了场地勘察、设备部署和团队培训三项工作。研究团队首先进行了为期两周的前期勘察，通过实地观察、历史数据分析和专家咨询，最终确定了校园内共12个关键观察点位（如表7所示），覆盖教学楼群入口、食堂周边、主要道路交叉口、宿舍区连接道路和图书馆广场等不同类型行人与骑行者的共享道路场景，如图2所示。</w:t>
      </w:r>
    </w:p>
    <w:p w14:paraId="1F9F922B">
      <w:pPr>
        <w:pStyle w:val="4"/>
        <w:rPr>
          <w:rFonts w:hint="default" w:ascii="Times New Roman" w:hAnsi="Times New Roman" w:cs="Times New Roman"/>
          <w:lang w:val="en-US" w:eastAsia="zh-CN"/>
        </w:rPr>
      </w:pPr>
      <w:r>
        <w:rPr>
          <w:rFonts w:hint="default" w:ascii="Times New Roman" w:hAnsi="Times New Roman" w:cs="Times New Roman"/>
          <w:lang w:val="en-US" w:eastAsia="zh-CN"/>
        </w:rPr>
        <w:t>设备部署方面，在每个观察点使用一台苹果手机作为高清摄像（分辨率1920×1080，帧率30fps）。摄像头高度设置在1.8米，俯角约30-45度，以获得最佳的行人和骑行者识别效果，并可对录制过程进行实时监控。所有录像素材存储于云端网盘中，以方便对素材进行存储和传输。</w:t>
      </w:r>
    </w:p>
    <w:p w14:paraId="01BCCF2E">
      <w:pPr>
        <w:pStyle w:val="4"/>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ED9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blHeader/>
          <w:jc w:val="center"/>
        </w:trPr>
        <w:tc>
          <w:tcPr>
            <w:tcW w:w="0" w:type="auto"/>
            <w:tcBorders>
              <w:top w:val="single" w:color="000000" w:sz="4" w:space="0"/>
              <w:left w:val="nil"/>
              <w:bottom w:val="single" w:color="000000" w:sz="12" w:space="0"/>
              <w:right w:val="nil"/>
            </w:tcBorders>
            <w:shd w:val="clear" w:color="auto" w:fill="FFFFFF"/>
            <w:vAlign w:val="center"/>
          </w:tcPr>
          <w:p w14:paraId="43362F5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校园共享道路场景</w:t>
            </w:r>
          </w:p>
        </w:tc>
        <w:tc>
          <w:tcPr>
            <w:tcW w:w="0" w:type="auto"/>
            <w:tcBorders>
              <w:top w:val="single" w:color="000000" w:sz="4" w:space="0"/>
              <w:left w:val="nil"/>
              <w:bottom w:val="single" w:color="000000" w:sz="12" w:space="0"/>
              <w:right w:val="nil"/>
            </w:tcBorders>
            <w:shd w:val="clear" w:color="auto" w:fill="FFFFFF"/>
            <w:vAlign w:val="center"/>
          </w:tcPr>
          <w:p w14:paraId="5A6F3FF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道路交通特征</w:t>
            </w:r>
          </w:p>
        </w:tc>
        <w:tc>
          <w:tcPr>
            <w:tcW w:w="1576" w:type="dxa"/>
            <w:tcBorders>
              <w:top w:val="single" w:color="000000" w:sz="4" w:space="0"/>
              <w:left w:val="nil"/>
              <w:bottom w:val="single" w:color="000000" w:sz="12" w:space="0"/>
              <w:right w:val="nil"/>
            </w:tcBorders>
            <w:shd w:val="clear" w:color="auto" w:fill="FFFFFF"/>
            <w:vAlign w:val="center"/>
          </w:tcPr>
          <w:p w14:paraId="11E19EBD">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具体位置</w:t>
            </w:r>
          </w:p>
        </w:tc>
      </w:tr>
      <w:tr w14:paraId="7123B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12" w:space="0"/>
              <w:left w:val="nil"/>
              <w:bottom w:val="nil"/>
              <w:right w:val="nil"/>
            </w:tcBorders>
            <w:shd w:val="clear" w:color="auto" w:fill="FFFFFF"/>
            <w:vAlign w:val="center"/>
          </w:tcPr>
          <w:p w14:paraId="294CA9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教学楼群入口区域</w:t>
            </w:r>
          </w:p>
        </w:tc>
        <w:tc>
          <w:tcPr>
            <w:tcW w:w="0" w:type="auto"/>
            <w:vMerge w:val="restart"/>
            <w:tcBorders>
              <w:top w:val="single" w:color="000000" w:sz="12" w:space="0"/>
              <w:left w:val="nil"/>
              <w:bottom w:val="nil"/>
              <w:right w:val="nil"/>
            </w:tcBorders>
            <w:shd w:val="clear" w:color="auto" w:fill="FFFFFF"/>
            <w:vAlign w:val="center"/>
          </w:tcPr>
          <w:p w14:paraId="030DDDB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学生流量最大，上下课时段尤为集中；</w:t>
            </w:r>
          </w:p>
        </w:tc>
        <w:tc>
          <w:tcPr>
            <w:tcW w:w="1576" w:type="dxa"/>
            <w:tcBorders>
              <w:top w:val="single" w:color="000000" w:sz="4" w:space="0"/>
              <w:left w:val="nil"/>
              <w:bottom w:val="single" w:color="000000" w:sz="4" w:space="0"/>
              <w:right w:val="nil"/>
              <w:tl2br w:val="nil"/>
            </w:tcBorders>
            <w:shd w:val="clear" w:color="auto" w:fill="FFFFFF"/>
            <w:vAlign w:val="center"/>
          </w:tcPr>
          <w:p w14:paraId="2846437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P01</w:t>
            </w:r>
          </w:p>
        </w:tc>
      </w:tr>
      <w:tr w14:paraId="1BD3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EC01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6879885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6F1575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P02</w:t>
            </w:r>
          </w:p>
        </w:tc>
      </w:tr>
      <w:tr w14:paraId="2FEFA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nil"/>
              <w:left w:val="nil"/>
              <w:bottom w:val="nil"/>
              <w:right w:val="nil"/>
            </w:tcBorders>
            <w:shd w:val="clear" w:color="auto" w:fill="FFFFFF"/>
            <w:vAlign w:val="center"/>
          </w:tcPr>
          <w:p w14:paraId="1353007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nil"/>
              <w:left w:val="nil"/>
              <w:bottom w:val="nil"/>
              <w:right w:val="nil"/>
            </w:tcBorders>
            <w:shd w:val="clear" w:color="auto" w:fill="FFFFFF"/>
            <w:vAlign w:val="center"/>
          </w:tcPr>
          <w:p w14:paraId="233F2802">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70469F1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P03</w:t>
            </w:r>
          </w:p>
        </w:tc>
      </w:tr>
      <w:tr w14:paraId="21E0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l2br w:val="nil"/>
            </w:tcBorders>
            <w:shd w:val="clear" w:color="auto" w:fill="FFFFFF"/>
            <w:vAlign w:val="center"/>
          </w:tcPr>
          <w:p w14:paraId="62C668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食堂周边道路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7B3DA848">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就餐时段人车混行严重；</w:t>
            </w:r>
          </w:p>
        </w:tc>
        <w:tc>
          <w:tcPr>
            <w:tcW w:w="1576" w:type="dxa"/>
            <w:tcBorders>
              <w:top w:val="single" w:color="000000" w:sz="4" w:space="0"/>
              <w:left w:val="nil"/>
              <w:bottom w:val="single" w:color="000000" w:sz="4" w:space="0"/>
              <w:right w:val="nil"/>
            </w:tcBorders>
            <w:shd w:val="clear" w:color="auto" w:fill="FFFFFF"/>
            <w:vAlign w:val="center"/>
          </w:tcPr>
          <w:p w14:paraId="536826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P04</w:t>
            </w:r>
          </w:p>
        </w:tc>
      </w:tr>
      <w:tr w14:paraId="209A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319A89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5D2716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40BD1B2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P05</w:t>
            </w:r>
          </w:p>
        </w:tc>
      </w:tr>
      <w:tr w14:paraId="49B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5201A0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332610C5">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051F56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P06</w:t>
            </w:r>
          </w:p>
        </w:tc>
      </w:tr>
    </w:tbl>
    <w:p>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表7 校园共享道路观测点（续）</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4"/>
        <w:gridCol w:w="4296"/>
        <w:gridCol w:w="1576"/>
      </w:tblGrid>
      <w:tr w14:paraId="49B2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restart"/>
            <w:tcBorders>
              <w:top w:val="single" w:color="000000" w:sz="4" w:space="0"/>
              <w:left w:val="nil"/>
              <w:bottom w:val="single" w:color="000000" w:sz="4" w:space="0"/>
              <w:right w:val="nil"/>
            </w:tcBorders>
            <w:shd w:val="clear" w:color="auto" w:fill="FFFFFF"/>
            <w:vAlign w:val="center"/>
          </w:tcPr>
          <w:p w14:paraId="6D9FB3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主要道路交叉口</w:t>
            </w:r>
          </w:p>
        </w:tc>
        <w:tc>
          <w:tcPr>
            <w:tcW w:w="4296" w:type="dxa"/>
            <w:vMerge w:val="restart"/>
            <w:tcBorders>
              <w:top w:val="single" w:color="000000" w:sz="4" w:space="0"/>
              <w:left w:val="nil"/>
              <w:bottom w:val="single" w:color="000000" w:sz="4" w:space="0"/>
              <w:right w:val="nil"/>
            </w:tcBorders>
            <w:shd w:val="clear" w:color="auto" w:fill="FFFFFF"/>
            <w:vAlign w:val="center"/>
          </w:tcPr>
          <w:p w14:paraId="0D731FB1">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多向交通流交汇，冲突类型复杂；</w:t>
            </w:r>
          </w:p>
        </w:tc>
        <w:tc>
          <w:tcPr>
            <w:tcW w:w="1576" w:type="dxa"/>
            <w:tcBorders>
              <w:top w:val="single" w:color="000000" w:sz="4" w:space="0"/>
              <w:left w:val="nil"/>
              <w:bottom w:val="single" w:color="000000" w:sz="4" w:space="0"/>
              <w:right w:val="nil"/>
            </w:tcBorders>
            <w:shd w:val="clear" w:color="auto" w:fill="FFFFFF"/>
            <w:vAlign w:val="center"/>
          </w:tcPr>
          <w:p w14:paraId="544006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P07</w:t>
            </w:r>
          </w:p>
        </w:tc>
      </w:tr>
      <w:tr w14:paraId="5A378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3B0B64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637C321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25F56C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P08</w:t>
            </w:r>
          </w:p>
        </w:tc>
      </w:tr>
      <w:tr w14:paraId="25558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44" w:type="dxa"/>
            <w:vMerge w:val="continue"/>
            <w:tcBorders>
              <w:top w:val="single" w:color="000000" w:sz="4" w:space="0"/>
              <w:left w:val="nil"/>
              <w:bottom w:val="single" w:color="000000" w:sz="4" w:space="0"/>
              <w:right w:val="nil"/>
            </w:tcBorders>
            <w:shd w:val="clear" w:color="auto" w:fill="FFFFFF"/>
            <w:vAlign w:val="center"/>
          </w:tcPr>
          <w:p w14:paraId="01B61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4296" w:type="dxa"/>
            <w:vMerge w:val="continue"/>
            <w:tcBorders>
              <w:top w:val="single" w:color="000000" w:sz="4" w:space="0"/>
              <w:left w:val="nil"/>
              <w:bottom w:val="single" w:color="000000" w:sz="4" w:space="0"/>
              <w:right w:val="nil"/>
            </w:tcBorders>
            <w:shd w:val="clear" w:color="auto" w:fill="FFFFFF"/>
            <w:vAlign w:val="center"/>
          </w:tcPr>
          <w:p w14:paraId="23E00A33">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5323C06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P09</w:t>
            </w:r>
          </w:p>
        </w:tc>
      </w:tr>
      <w:tr w14:paraId="02F96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restart"/>
            <w:tcBorders>
              <w:top w:val="single" w:color="000000" w:sz="4" w:space="0"/>
              <w:left w:val="nil"/>
              <w:bottom w:val="single" w:color="000000" w:sz="4" w:space="0"/>
              <w:right w:val="nil"/>
            </w:tcBorders>
            <w:shd w:val="clear" w:color="auto" w:fill="FFFFFF"/>
            <w:vAlign w:val="center"/>
          </w:tcPr>
          <w:p w14:paraId="15F2F4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宿舍区连接道路</w:t>
            </w:r>
          </w:p>
        </w:tc>
        <w:tc>
          <w:tcPr>
            <w:tcW w:w="0" w:type="auto"/>
            <w:vMerge w:val="restart"/>
            <w:tcBorders>
              <w:top w:val="single" w:color="000000" w:sz="4" w:space="0"/>
              <w:left w:val="nil"/>
              <w:bottom w:val="single" w:color="000000" w:sz="4" w:space="0"/>
              <w:right w:val="nil"/>
            </w:tcBorders>
            <w:shd w:val="clear" w:color="auto" w:fill="FFFFFF"/>
            <w:vAlign w:val="center"/>
          </w:tcPr>
          <w:p w14:paraId="05F323E9">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早晚高峰期流量大；</w:t>
            </w:r>
          </w:p>
        </w:tc>
        <w:tc>
          <w:tcPr>
            <w:tcW w:w="1576" w:type="dxa"/>
            <w:tcBorders>
              <w:top w:val="single" w:color="000000" w:sz="4" w:space="0"/>
              <w:left w:val="nil"/>
              <w:bottom w:val="single" w:color="000000" w:sz="4" w:space="0"/>
              <w:right w:val="nil"/>
            </w:tcBorders>
            <w:shd w:val="clear" w:color="auto" w:fill="FFFFFF"/>
            <w:vAlign w:val="center"/>
          </w:tcPr>
          <w:p w14:paraId="3CDDDB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P10</w:t>
            </w:r>
          </w:p>
        </w:tc>
      </w:tr>
      <w:tr w14:paraId="43D7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Merge w:val="continue"/>
            <w:tcBorders>
              <w:top w:val="single" w:color="000000" w:sz="4" w:space="0"/>
              <w:left w:val="nil"/>
              <w:bottom w:val="single" w:color="000000" w:sz="4" w:space="0"/>
              <w:right w:val="nil"/>
            </w:tcBorders>
            <w:shd w:val="clear" w:color="auto" w:fill="FFFFFF"/>
            <w:vAlign w:val="center"/>
          </w:tcPr>
          <w:p w14:paraId="65AD44D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p>
        </w:tc>
        <w:tc>
          <w:tcPr>
            <w:tcW w:w="0" w:type="auto"/>
            <w:vMerge w:val="continue"/>
            <w:tcBorders>
              <w:top w:val="single" w:color="000000" w:sz="4" w:space="0"/>
              <w:left w:val="nil"/>
              <w:bottom w:val="single" w:color="000000" w:sz="4" w:space="0"/>
              <w:right w:val="nil"/>
            </w:tcBorders>
            <w:shd w:val="clear" w:color="auto" w:fill="FFFFFF"/>
            <w:vAlign w:val="center"/>
          </w:tcPr>
          <w:p w14:paraId="1958FA5C">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p>
        </w:tc>
        <w:tc>
          <w:tcPr>
            <w:tcW w:w="1576" w:type="dxa"/>
            <w:tcBorders>
              <w:top w:val="single" w:color="000000" w:sz="4" w:space="0"/>
              <w:left w:val="nil"/>
              <w:bottom w:val="single" w:color="000000" w:sz="4" w:space="0"/>
              <w:right w:val="nil"/>
            </w:tcBorders>
            <w:shd w:val="clear" w:color="auto" w:fill="FFFFFF"/>
            <w:vAlign w:val="center"/>
          </w:tcPr>
          <w:p w14:paraId="6A48FF7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P11</w:t>
            </w:r>
          </w:p>
        </w:tc>
      </w:tr>
      <w:tr w14:paraId="355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single" w:color="000000" w:sz="4" w:space="0"/>
              <w:right w:val="nil"/>
            </w:tcBorders>
            <w:shd w:val="clear" w:color="auto" w:fill="FFFFFF"/>
            <w:vAlign w:val="center"/>
          </w:tcPr>
          <w:p w14:paraId="18696FD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图书馆</w:t>
            </w:r>
            <w:r>
              <w:rPr>
                <w:rFonts w:hint="eastAsia" w:ascii="Times New Roman" w:hAnsi="Times New Roman" w:eastAsia="宋体" w:cs="Times New Roman"/>
                <w:b w:val="0"/>
                <w:color w:val="000000"/>
                <w:kern w:val="0"/>
                <w:sz w:val="24"/>
                <w:szCs w:val="24"/>
                <w:lang w:val="en-US" w:eastAsia="zh-CN" w:bidi="ar"/>
              </w:rPr>
              <w:t>南门</w:t>
            </w:r>
          </w:p>
        </w:tc>
        <w:tc>
          <w:tcPr>
            <w:tcW w:w="0" w:type="auto"/>
            <w:tcBorders>
              <w:top w:val="nil"/>
              <w:left w:val="nil"/>
              <w:bottom w:val="single" w:color="000000" w:sz="4" w:space="0"/>
              <w:right w:val="nil"/>
            </w:tcBorders>
            <w:shd w:val="clear" w:color="auto" w:fill="FFFFFF"/>
            <w:vAlign w:val="center"/>
          </w:tcPr>
          <w:p w14:paraId="075AB0E0">
            <w:pPr>
              <w:keepNext w:val="0"/>
              <w:keepLines w:val="0"/>
              <w:widowControl/>
              <w:suppressLineNumbers w:val="0"/>
              <w:jc w:val="left"/>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开放空间，行人活动自由度高。</w:t>
            </w:r>
          </w:p>
        </w:tc>
        <w:tc>
          <w:tcPr>
            <w:tcW w:w="1576" w:type="dxa"/>
            <w:tcBorders>
              <w:top w:val="nil"/>
              <w:left w:val="nil"/>
              <w:bottom w:val="single" w:color="000000" w:sz="4" w:space="0"/>
              <w:right w:val="nil"/>
            </w:tcBorders>
            <w:shd w:val="clear" w:color="auto" w:fill="FFFFFF"/>
            <w:vAlign w:val="center"/>
          </w:tcPr>
          <w:p w14:paraId="2BCDDE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P12</w:t>
            </w:r>
          </w:p>
        </w:tc>
      </w:tr>
    </w:tbl>
    <w:p w14:paraId="75D7140B">
      <w:pPr>
        <w:pStyle w:val="4"/>
        <w:ind w:left="0" w:leftChars="0" w:firstLine="0" w:firstLineChars="0"/>
        <w:rPr>
          <w:rFonts w:hint="default" w:ascii="Times New Roman" w:hAnsi="Times New Roman" w:eastAsia="黑体" w:cs="Times New Roman"/>
          <w:lang w:val="en-US" w:eastAsia="zh-CN"/>
        </w:rPr>
      </w:pPr>
    </w:p>
    <w:p w14:paraId="373AAA16">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drawing>
          <wp:inline distT="0" distB="0" distL="114300" distR="114300">
            <wp:extent cx="5233035" cy="3544570"/>
            <wp:effectExtent l="0" t="0" r="0" b="0"/>
            <wp:docPr id="13" name="图片 13" descr="17634752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63475257816"/>
                    <pic:cNvPicPr>
                      <a:picLocks noChangeAspect="1"/>
                    </pic:cNvPicPr>
                  </pic:nvPicPr>
                  <pic:blipFill>
                    <a:blip r:embed="rId9"/>
                    <a:srcRect b="10185"/>
                    <a:stretch>
                      <a:fillRect/>
                    </a:stretch>
                  </pic:blipFill>
                  <pic:spPr>
                    <a:xfrm>
                      <a:off x="0" y="0"/>
                      <a:ext cx="5233035" cy="3544570"/>
                    </a:xfrm>
                    <a:prstGeom prst="rect">
                      <a:avLst/>
                    </a:prstGeom>
                  </pic:spPr>
                </pic:pic>
              </a:graphicData>
            </a:graphic>
          </wp:inline>
        </w:drawing>
      </w:r>
    </w:p>
    <w:p w14:paraId="3CE68FF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图2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12个</w:t>
      </w:r>
      <w:r>
        <w:rPr>
          <w:rFonts w:hint="default" w:ascii="Times New Roman" w:hAnsi="Times New Roman" w:cs="Times New Roman"/>
          <w:lang w:val="en-US" w:eastAsia="zh-CN"/>
        </w:rPr>
        <w:t>观测点</w:t>
      </w:r>
    </w:p>
    <w:p w14:paraId="10C03443">
      <w:pPr>
        <w:pStyle w:val="4"/>
        <w:ind w:left="0" w:leftChars="0" w:firstLine="0" w:firstLineChars="0"/>
        <w:rPr>
          <w:rFonts w:hint="default" w:ascii="Times New Roman" w:hAnsi="Times New Roman" w:eastAsia="黑体" w:cs="Times New Roman"/>
          <w:lang w:val="en-US" w:eastAsia="zh-CN"/>
        </w:rPr>
      </w:pPr>
    </w:p>
    <w:p w14:paraId="4E35AEE3">
      <w:pPr>
        <w:pStyle w:val="4"/>
        <w:ind w:left="0" w:leftChars="0" w:firstLine="0" w:firstLineChars="0"/>
        <w:rPr>
          <w:rFonts w:hint="eastAsia" w:ascii="Times New Roman" w:hAnsi="Times New Roman" w:eastAsia="黑体" w:cs="Times New Roman"/>
          <w:lang w:val="en-US" w:eastAsia="zh-CN"/>
        </w:rPr>
      </w:pPr>
      <w:r>
        <w:rPr>
          <w:rFonts w:hint="default" w:ascii="Times New Roman" w:hAnsi="Times New Roman" w:eastAsia="黑体" w:cs="Times New Roman"/>
          <w:lang w:val="en-US" w:eastAsia="zh-CN"/>
        </w:rPr>
        <w:t>（2）数据采集阶段</w:t>
      </w:r>
    </w:p>
    <w:p w14:paraId="0847839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正式数据采集期为</w:t>
      </w:r>
      <w:r>
        <w:rPr>
          <w:rFonts w:hint="eastAsia" w:ascii="Times New Roman" w:hAnsi="Times New Roman" w:cs="Times New Roman"/>
          <w:lang w:val="en-US" w:eastAsia="zh-CN"/>
        </w:rPr>
        <w:t>一个月</w:t>
      </w:r>
      <w:r>
        <w:rPr>
          <w:rFonts w:hint="default" w:ascii="Times New Roman" w:hAnsi="Times New Roman" w:cs="Times New Roman"/>
          <w:lang w:val="en-US" w:eastAsia="zh-CN"/>
        </w:rPr>
        <w:t>。采集时段覆盖每日7:00-20:00。根据校园作息规律，将采集时段细分为早高峰（7:30-9:</w:t>
      </w:r>
      <w:r>
        <w:rPr>
          <w:rFonts w:hint="eastAsia" w:ascii="Times New Roman" w:hAnsi="Times New Roman" w:cs="Times New Roman"/>
          <w:lang w:val="en-US" w:eastAsia="zh-CN"/>
        </w:rPr>
        <w:t>00）</w:t>
      </w:r>
      <w:r>
        <w:rPr>
          <w:rFonts w:hint="default" w:ascii="Times New Roman" w:hAnsi="Times New Roman" w:cs="Times New Roman"/>
          <w:lang w:val="en-US" w:eastAsia="zh-CN"/>
        </w:rPr>
        <w:t>午高峰（11:30-13:</w:t>
      </w:r>
      <w:r>
        <w:rPr>
          <w:rFonts w:hint="eastAsia" w:ascii="Times New Roman" w:hAnsi="Times New Roman" w:cs="Times New Roman"/>
          <w:lang w:val="en-US" w:eastAsia="zh-CN"/>
        </w:rPr>
        <w:t>00）</w:t>
      </w:r>
      <w:r>
        <w:rPr>
          <w:rFonts w:hint="default" w:ascii="Times New Roman" w:hAnsi="Times New Roman" w:cs="Times New Roman"/>
          <w:lang w:val="en-US" w:eastAsia="zh-CN"/>
        </w:rPr>
        <w:t>晚高峰（17:00-18:30）和平峰时段。高峰时段进行全量采集，平峰时段进行抽样采集（50%采集率）。为确保数据质量，实施了多层次质量控制措施：第一，每周检查设备状态，清洁镜头，校准角度；第二，录像数据实时云端备份，本地存储；第三，20%数据进行二次标注，不一致处由专家裁定；第四，恶劣天气、设备故障等异常情况记录并补充采集。整个采集期间，设备正常运行率达到96.3%，数据完整性达到98.7%。</w:t>
      </w:r>
    </w:p>
    <w:p w14:paraId="680072C0">
      <w:pPr>
        <w:pStyle w:val="4"/>
        <w:rPr>
          <w:rFonts w:hint="default" w:ascii="Times New Roman" w:hAnsi="Times New Roman" w:cs="Times New Roman"/>
          <w:lang w:val="en-US" w:eastAsia="zh-CN"/>
        </w:rPr>
      </w:pPr>
      <w:r>
        <w:rPr>
          <w:rFonts w:hint="default" w:ascii="Times New Roman" w:hAnsi="Times New Roman" w:cs="Times New Roman"/>
          <w:lang w:val="en-US" w:eastAsia="zh-CN"/>
        </w:rPr>
        <w:t>此外</w:t>
      </w:r>
      <w:r>
        <w:rPr>
          <w:rFonts w:hint="eastAsia" w:ascii="Times New Roman" w:hAnsi="Times New Roman" w:cs="Times New Roman"/>
          <w:lang w:val="en-US" w:eastAsia="zh-CN"/>
        </w:rPr>
        <w:t>，</w:t>
      </w:r>
      <w:r>
        <w:rPr>
          <w:rFonts w:hint="default" w:ascii="Times New Roman" w:hAnsi="Times New Roman" w:cs="Times New Roman"/>
          <w:lang w:val="en-US" w:eastAsia="zh-CN"/>
        </w:rPr>
        <w:t>为深入理解冲突背后的认知和行为机制，本研究开展了半结构化深度访谈。访谈对象包括：经常步行的学生（20人）、经常骑行的学生（20人）、教职工（10人）、校园管理人员（3人）。访谈内容涵盖：对校园交通安全的感知、学生出行习惯和路线选择、曾经历或目击的冲突事件、对现有交通设施的评价、改善建议等。访谈采用主题分析法进行数据处理，通过开放编码、轴心编码和选择性编码三个步骤，提炼出核心主题和关键发现。</w:t>
      </w:r>
    </w:p>
    <w:p>
      <w:pPr>
        <w:pStyle w:val="4"/>
        <w:rPr>
          <w:rFonts w:hint="eastAsia" w:ascii="Times New Roman" w:hAnsi="Times New Roman" w:cs="Times New Roman"/>
          <w:lang w:val="en-US" w:eastAsia="zh-CN"/>
        </w:rPr>
      </w:pPr>
      <w:r>
        <w:rPr>
          <w:rFonts w:hint="default" w:ascii="Times New Roman" w:hAnsi="Times New Roman" w:cs="Times New Roman"/>
          <w:lang w:val="en-US" w:eastAsia="zh-CN"/>
        </w:rPr>
        <w:t xml:space="preserve">此外，校园共享道路交通环境特征要素的筛选经历了一个系统化的多阶段过程。在研究初期，团队通过文献综述法对国内外相关研究进行了全面梳理，初步识别出可能影响人车冲突的交通环境特征要素多达十八项，包括道路宽度、路面材质、坡度、弯道半径、视距条件、绿化遮挡、标识系统、照明水平、路面平整度、排水系统、路缘石高度、护栏设置、交通信号、减速设施、路面颜色、噪声水平、温度条件和风力条件等。这些因素涵盖了道路几何特征、交通设施、环境质量和气象条件四大类别。为筛选核心变量，研究团队采用德尔菲法进行两轮专家咨询</w:t>
      </w:r>
      <w:r>
        <w:rPr>
          <w:rFonts w:hint="default" w:ascii="Times New Roman" w:hAnsi="Times New Roman" w:cs="Times New Roman"/>
          <w:lang w:val="en-US" w:eastAsia="zh-CN"/>
          <w:vertAlign w:val="superscript"/>
        </w:rPr>
        <w:t xml:space="preserve">[62]</w:t>
      </w:r>
      <w:r>
        <w:rPr>
          <w:rFonts w:hint="default" w:ascii="Times New Roman" w:hAnsi="Times New Roman" w:cs="Times New Roman"/>
          <w:lang w:val="en-US" w:eastAsia="zh-CN"/>
        </w:rPr>
        <w:t xml:space="preserve">。邀请十二位来自交通工程、城市规划、安全管理和校园管理领域的专家，根据理论重要性、测量可行性和可改善性三项标准对十八项因素进行评分（每项1-5分，总分3-15分）。经过两轮咨询，道路宽度、视距条件、标识系统、照明水平和路面质量五项因素得分显著高于其他因素，最终确定为核心研究要素。此外，基于五项交通环境特征要素构建问卷，</w:t>
      </w:r>
    </w:p>
    <w:p>
      <w:pPr>
        <w:pStyle w:val="4"/>
        <w:rPr>
          <w:rFonts w:hint="eastAsia" w:ascii="Times New Roman" w:hAnsi="Times New Roman" w:cs="Times New Roman"/>
          <w:lang w:val="en-US" w:eastAsia="zh-CN"/>
        </w:rPr>
      </w:pPr>
      <w:r>
        <w:rPr>
          <w:rFonts w:hint="eastAsia" w:ascii="Times New Roman" w:hAnsi="Times New Roman" w:cs="Times New Roman"/>
          <w:lang w:val="en-US" w:eastAsia="zh-CN"/>
        </w:rPr>
        <w:t xml:space="preserve">问卷采用结构化设计，分为基本信息（4题）与五大环境因素评价（32题）两大板块，合计36个题项，综合运用5级李克特量表系统收集使用者对道路宽度、视距条件、标识系统、照明水平和路面质量的主观感知、实际影响及改善建议。问卷经过两轮预测试和信效度检验（克隆巴赫系数0.75-0.88），最终通过线上线下相结合方式回收有效问卷132份，有效率达92.3%，客观测量数据与主观感知数据的相关系数为0.69-0.81，验证了问卷的科学性和有效性。</w:t>
      </w:r>
    </w:p>
    <w:p w14:paraId="76879608">
      <w:pPr>
        <w:pStyle w:val="4"/>
        <w:spacing w:before="120" w:after="120" w:line="360" w:lineRule="auto"/>
        <w:ind w:firstLine="480"/>
        <w:rPr>
          <w:rFonts w:hint="eastAsia" w:ascii="Times New Roman" w:hAnsi="Times New Roman" w:eastAsia="宋体" w:cs="Times New Roman"/>
          <w:color w:val="000000"/>
          <w:sz w:val="24"/>
          <w:szCs w:val="24"/>
        </w:rPr>
      </w:pPr>
    </w:p>
    <w:p w14:paraId="1EC30B40">
      <w:pPr>
        <w:pStyle w:val="4"/>
        <w:spacing w:before="120" w:after="120" w:line="360" w:lineRule="auto"/>
        <w:ind w:firstLine="480"/>
        <w:rPr>
          <w:rFonts w:hint="eastAsia" w:ascii="Times New Roman" w:hAnsi="Times New Roman" w:eastAsia="宋体" w:cs="Times New Roman"/>
          <w:color w:val="000000"/>
          <w:sz w:val="24"/>
          <w:szCs w:val="24"/>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表8 面向交通冲突者的高校共享道路交通环境特征要素调研问卷内容</w:t>
      </w:r>
    </w:p>
    <w:tbl>
      <w:tblPr>
        <w:tblStyle w:val="9"/>
        <w:tblW w:w="86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235"/>
        <w:gridCol w:w="1275"/>
        <w:gridCol w:w="4718"/>
      </w:tblGrid>
      <w:tr w14:paraId="67C19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425" w:type="dxa"/>
            <w:tcBorders>
              <w:top w:val="single" w:color="000000" w:sz="4" w:space="0"/>
              <w:left w:val="nil"/>
              <w:bottom w:val="single" w:color="000000" w:sz="12" w:space="0"/>
              <w:right w:val="nil"/>
            </w:tcBorders>
            <w:shd w:val="clear" w:color="auto" w:fill="FFFFFF"/>
            <w:vAlign w:val="center"/>
          </w:tcPr>
          <w:p w14:paraId="35401A7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部分</w:t>
            </w:r>
          </w:p>
        </w:tc>
        <w:tc>
          <w:tcPr>
            <w:tcW w:w="1235" w:type="dxa"/>
            <w:tcBorders>
              <w:top w:val="single" w:color="000000" w:sz="4" w:space="0"/>
              <w:left w:val="nil"/>
              <w:bottom w:val="single" w:color="000000" w:sz="12" w:space="0"/>
              <w:right w:val="nil"/>
            </w:tcBorders>
            <w:shd w:val="clear" w:color="auto" w:fill="FFFFFF"/>
            <w:vAlign w:val="center"/>
          </w:tcPr>
          <w:p w14:paraId="35B99097">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eastAsia" w:ascii="Times New Roman" w:hAnsi="Times New Roman" w:eastAsia="宋体" w:cs="Times New Roman"/>
                <w:b/>
                <w:bCs w:val="0"/>
                <w:color w:val="000000"/>
                <w:sz w:val="24"/>
                <w:szCs w:val="24"/>
                <w:vertAlign w:val="baseline"/>
                <w:lang w:val="en-US" w:eastAsia="zh-CN"/>
              </w:rPr>
              <w:t>题项</w:t>
            </w:r>
          </w:p>
        </w:tc>
        <w:tc>
          <w:tcPr>
            <w:tcW w:w="1275" w:type="dxa"/>
            <w:tcBorders>
              <w:top w:val="single" w:color="000000" w:sz="4" w:space="0"/>
              <w:left w:val="nil"/>
              <w:bottom w:val="single" w:color="000000" w:sz="12" w:space="0"/>
              <w:right w:val="nil"/>
            </w:tcBorders>
            <w:shd w:val="clear" w:color="auto" w:fill="FFFFFF"/>
            <w:vAlign w:val="center"/>
          </w:tcPr>
          <w:p w14:paraId="73B5954A">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题项数</w:t>
            </w:r>
          </w:p>
        </w:tc>
        <w:tc>
          <w:tcPr>
            <w:tcW w:w="4718" w:type="dxa"/>
            <w:tcBorders>
              <w:top w:val="single" w:color="000000" w:sz="4" w:space="0"/>
              <w:left w:val="nil"/>
              <w:bottom w:val="single" w:color="000000" w:sz="12" w:space="0"/>
              <w:right w:val="nil"/>
            </w:tcBorders>
            <w:shd w:val="clear" w:color="auto" w:fill="FFFFFF"/>
            <w:vAlign w:val="center"/>
          </w:tcPr>
          <w:p w14:paraId="6748216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ascii="宋体" w:hAnsi="宋体" w:eastAsia="宋体" w:cs="宋体"/>
                <w:b/>
                <w:bCs w:val="0"/>
                <w:color w:val="000000"/>
                <w:kern w:val="0"/>
                <w:sz w:val="24"/>
                <w:szCs w:val="24"/>
                <w:lang w:val="en-US" w:eastAsia="zh-CN" w:bidi="ar"/>
              </w:rPr>
              <w:t>核心测量内容</w:t>
            </w:r>
          </w:p>
        </w:tc>
      </w:tr>
      <w:tr w14:paraId="2CF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tcBorders>
              <w:top w:val="single" w:color="000000" w:sz="12" w:space="0"/>
              <w:left w:val="nil"/>
              <w:bottom w:val="nil"/>
              <w:right w:val="nil"/>
            </w:tcBorders>
            <w:shd w:val="clear" w:color="auto" w:fill="FFFFFF"/>
            <w:vAlign w:val="center"/>
          </w:tcPr>
          <w:p w14:paraId="41B8E8B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受试者信息</w:t>
            </w:r>
          </w:p>
        </w:tc>
        <w:tc>
          <w:tcPr>
            <w:tcW w:w="1235" w:type="dxa"/>
            <w:tcBorders>
              <w:top w:val="single" w:color="000000" w:sz="12" w:space="0"/>
              <w:left w:val="nil"/>
              <w:bottom w:val="nil"/>
              <w:right w:val="nil"/>
            </w:tcBorders>
            <w:shd w:val="clear" w:color="auto" w:fill="FFFFFF"/>
            <w:vAlign w:val="center"/>
          </w:tcPr>
          <w:p w14:paraId="01C439D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基本信息</w:t>
            </w:r>
          </w:p>
        </w:tc>
        <w:tc>
          <w:tcPr>
            <w:tcW w:w="1275" w:type="dxa"/>
            <w:tcBorders>
              <w:top w:val="single" w:color="000000" w:sz="12" w:space="0"/>
              <w:left w:val="nil"/>
              <w:bottom w:val="nil"/>
              <w:right w:val="nil"/>
            </w:tcBorders>
            <w:shd w:val="clear" w:color="auto" w:fill="FFFFFF"/>
            <w:vAlign w:val="center"/>
          </w:tcPr>
          <w:p w14:paraId="16240F20">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4</w:t>
            </w:r>
          </w:p>
        </w:tc>
        <w:tc>
          <w:tcPr>
            <w:tcW w:w="4718" w:type="dxa"/>
            <w:tcBorders>
              <w:top w:val="single" w:color="000000" w:sz="12" w:space="0"/>
              <w:left w:val="nil"/>
              <w:bottom w:val="nil"/>
              <w:right w:val="nil"/>
            </w:tcBorders>
            <w:shd w:val="clear" w:color="auto" w:fill="FFFFFF"/>
            <w:vAlign w:val="center"/>
          </w:tcPr>
          <w:p w14:paraId="18CD2593">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身份、交通方式、出行频次、在校时长</w:t>
            </w:r>
          </w:p>
        </w:tc>
      </w:tr>
      <w:tr w14:paraId="2176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restart"/>
            <w:tcBorders>
              <w:top w:val="nil"/>
              <w:left w:val="nil"/>
              <w:right w:val="nil"/>
            </w:tcBorders>
            <w:shd w:val="clear" w:color="auto" w:fill="FFFFFF"/>
            <w:vAlign w:val="center"/>
          </w:tcPr>
          <w:p w14:paraId="6B15B0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sz w:val="24"/>
                <w:szCs w:val="24"/>
                <w:vertAlign w:val="baseline"/>
                <w:lang w:val="en-US" w:eastAsia="zh-CN"/>
              </w:rPr>
              <w:t>交通环境特征要素</w:t>
            </w:r>
          </w:p>
        </w:tc>
        <w:tc>
          <w:tcPr>
            <w:tcW w:w="1235" w:type="dxa"/>
            <w:tcBorders>
              <w:top w:val="nil"/>
              <w:left w:val="nil"/>
              <w:bottom w:val="nil"/>
              <w:right w:val="nil"/>
            </w:tcBorders>
            <w:shd w:val="clear" w:color="auto" w:fill="FFFFFF"/>
            <w:vAlign w:val="center"/>
          </w:tcPr>
          <w:p w14:paraId="663DCDB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道路宽度</w:t>
            </w:r>
          </w:p>
        </w:tc>
        <w:tc>
          <w:tcPr>
            <w:tcW w:w="1275" w:type="dxa"/>
            <w:tcBorders>
              <w:top w:val="nil"/>
              <w:left w:val="nil"/>
              <w:bottom w:val="nil"/>
              <w:right w:val="nil"/>
            </w:tcBorders>
            <w:shd w:val="clear" w:color="auto" w:fill="FFFFFF"/>
            <w:vAlign w:val="center"/>
          </w:tcPr>
          <w:p w14:paraId="619F391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03B8FCA4">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满意度、冲突频率、问题路段、改善建议</w:t>
            </w:r>
          </w:p>
        </w:tc>
      </w:tr>
      <w:tr w14:paraId="28C8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DED96CD">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7F65CD5B">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视距条件</w:t>
            </w:r>
          </w:p>
        </w:tc>
        <w:tc>
          <w:tcPr>
            <w:tcW w:w="1275" w:type="dxa"/>
            <w:tcBorders>
              <w:top w:val="nil"/>
              <w:left w:val="nil"/>
              <w:bottom w:val="nil"/>
              <w:right w:val="nil"/>
            </w:tcBorders>
            <w:shd w:val="clear" w:color="auto" w:fill="FFFFFF"/>
            <w:vAlign w:val="center"/>
          </w:tcPr>
          <w:p w14:paraId="03AD942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7</w:t>
            </w:r>
          </w:p>
        </w:tc>
        <w:tc>
          <w:tcPr>
            <w:tcW w:w="4718" w:type="dxa"/>
            <w:tcBorders>
              <w:top w:val="nil"/>
              <w:left w:val="nil"/>
              <w:bottom w:val="nil"/>
              <w:right w:val="nil"/>
            </w:tcBorders>
            <w:shd w:val="clear" w:color="auto" w:fill="FFFFFF"/>
            <w:vAlign w:val="center"/>
          </w:tcPr>
          <w:p w14:paraId="76A5E84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遮挡频率、原因分析、重点区域评价</w:t>
            </w:r>
          </w:p>
        </w:tc>
      </w:tr>
      <w:tr w14:paraId="63DF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2283DF07">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1B54AF2A">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标识系统</w:t>
            </w:r>
          </w:p>
        </w:tc>
        <w:tc>
          <w:tcPr>
            <w:tcW w:w="1275" w:type="dxa"/>
            <w:tcBorders>
              <w:top w:val="nil"/>
              <w:left w:val="nil"/>
              <w:bottom w:val="nil"/>
              <w:right w:val="nil"/>
            </w:tcBorders>
            <w:shd w:val="clear" w:color="auto" w:fill="FFFFFF"/>
            <w:vAlign w:val="center"/>
          </w:tcPr>
          <w:p w14:paraId="1A7EB4D6">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8</w:t>
            </w:r>
          </w:p>
        </w:tc>
        <w:tc>
          <w:tcPr>
            <w:tcW w:w="4718" w:type="dxa"/>
            <w:tcBorders>
              <w:top w:val="nil"/>
              <w:left w:val="nil"/>
              <w:bottom w:val="nil"/>
              <w:right w:val="nil"/>
            </w:tcBorders>
            <w:shd w:val="clear" w:color="auto" w:fill="FFFFFF"/>
            <w:vAlign w:val="center"/>
          </w:tcPr>
          <w:p w14:paraId="15F663AA">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清晰度、问题类型、子系统评分、改善方向</w:t>
            </w:r>
          </w:p>
        </w:tc>
      </w:tr>
      <w:tr w14:paraId="434B1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right w:val="nil"/>
            </w:tcBorders>
            <w:shd w:val="clear" w:color="auto" w:fill="FFFFFF"/>
            <w:vAlign w:val="center"/>
          </w:tcPr>
          <w:p w14:paraId="378D5331">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nil"/>
              <w:right w:val="nil"/>
            </w:tcBorders>
            <w:shd w:val="clear" w:color="auto" w:fill="FFFFFF"/>
            <w:vAlign w:val="center"/>
          </w:tcPr>
          <w:p w14:paraId="29DB14F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照明水平</w:t>
            </w:r>
          </w:p>
        </w:tc>
        <w:tc>
          <w:tcPr>
            <w:tcW w:w="1275" w:type="dxa"/>
            <w:tcBorders>
              <w:top w:val="nil"/>
              <w:left w:val="nil"/>
              <w:bottom w:val="nil"/>
              <w:right w:val="nil"/>
            </w:tcBorders>
            <w:shd w:val="clear" w:color="auto" w:fill="FFFFFF"/>
            <w:vAlign w:val="center"/>
          </w:tcPr>
          <w:p w14:paraId="21A84074">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6</w:t>
            </w:r>
          </w:p>
        </w:tc>
        <w:tc>
          <w:tcPr>
            <w:tcW w:w="4718" w:type="dxa"/>
            <w:tcBorders>
              <w:top w:val="nil"/>
              <w:left w:val="nil"/>
              <w:bottom w:val="nil"/>
              <w:right w:val="nil"/>
            </w:tcBorders>
            <w:shd w:val="clear" w:color="auto" w:fill="FFFFFF"/>
            <w:vAlign w:val="center"/>
          </w:tcPr>
          <w:p w14:paraId="5226C48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充足度、影响分析、分时段评价、改善方案</w:t>
            </w:r>
          </w:p>
        </w:tc>
      </w:tr>
      <w:tr w14:paraId="1E5D6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5" w:type="dxa"/>
            <w:vMerge w:val="continue"/>
            <w:tcBorders>
              <w:left w:val="nil"/>
              <w:bottom w:val="single" w:color="000000" w:sz="4" w:space="0"/>
              <w:right w:val="nil"/>
            </w:tcBorders>
            <w:shd w:val="clear" w:color="auto" w:fill="FFFFFF"/>
            <w:vAlign w:val="center"/>
          </w:tcPr>
          <w:p w14:paraId="52510803">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p>
        </w:tc>
        <w:tc>
          <w:tcPr>
            <w:tcW w:w="1235" w:type="dxa"/>
            <w:tcBorders>
              <w:top w:val="nil"/>
              <w:left w:val="nil"/>
              <w:bottom w:val="single" w:color="000000" w:sz="4" w:space="0"/>
              <w:right w:val="nil"/>
            </w:tcBorders>
            <w:shd w:val="clear" w:color="auto" w:fill="FFFFFF"/>
            <w:vAlign w:val="center"/>
          </w:tcPr>
          <w:p w14:paraId="5233534C">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路面质量</w:t>
            </w:r>
          </w:p>
        </w:tc>
        <w:tc>
          <w:tcPr>
            <w:tcW w:w="1275" w:type="dxa"/>
            <w:tcBorders>
              <w:top w:val="nil"/>
              <w:left w:val="nil"/>
              <w:bottom w:val="single" w:color="000000" w:sz="4" w:space="0"/>
              <w:right w:val="nil"/>
            </w:tcBorders>
            <w:shd w:val="clear" w:color="auto" w:fill="FFFFFF"/>
            <w:vAlign w:val="center"/>
          </w:tcPr>
          <w:p w14:paraId="60BDD6DE">
            <w:pPr>
              <w:keepNext w:val="0"/>
              <w:keepLines w:val="0"/>
              <w:widowControl/>
              <w:suppressLineNumbers w:val="0"/>
              <w:jc w:val="center"/>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5</w:t>
            </w:r>
          </w:p>
        </w:tc>
        <w:tc>
          <w:tcPr>
            <w:tcW w:w="4718" w:type="dxa"/>
            <w:tcBorders>
              <w:top w:val="nil"/>
              <w:left w:val="nil"/>
              <w:bottom w:val="single" w:color="000000" w:sz="4" w:space="0"/>
              <w:right w:val="nil"/>
            </w:tcBorders>
            <w:shd w:val="clear" w:color="auto" w:fill="FFFFFF"/>
            <w:vAlign w:val="center"/>
          </w:tcPr>
          <w:p w14:paraId="7CFBBB9C">
            <w:pPr>
              <w:keepNext w:val="0"/>
              <w:keepLines w:val="0"/>
              <w:widowControl/>
              <w:suppressLineNumbers w:val="0"/>
              <w:jc w:val="left"/>
              <w:rPr>
                <w:rFonts w:hint="default" w:ascii="Times New Roman Regular" w:hAnsi="Times New Roman Regular" w:eastAsia="宋体" w:cs="Times New Roman Regular"/>
                <w:b w:val="0"/>
                <w:color w:val="000000"/>
                <w:sz w:val="24"/>
                <w:szCs w:val="24"/>
                <w:vertAlign w:val="baseline"/>
                <w:lang w:val="en-US" w:eastAsia="zh-CN"/>
              </w:rPr>
            </w:pPr>
            <w:r>
              <w:rPr>
                <w:rFonts w:hint="default" w:ascii="Times New Roman Regular" w:hAnsi="Times New Roman Regular" w:eastAsia="宋体" w:cs="Times New Roman Regular"/>
                <w:b w:val="0"/>
                <w:color w:val="000000"/>
                <w:kern w:val="0"/>
                <w:sz w:val="24"/>
                <w:szCs w:val="24"/>
                <w:lang w:val="en-US" w:eastAsia="zh-CN" w:bidi="ar"/>
              </w:rPr>
              <w:t>平整度、问题类型、影响程度、改善路段</w:t>
            </w:r>
          </w:p>
        </w:tc>
      </w:tr>
    </w:tbl>
    <w:p w14:paraId="31359C7F">
      <w:pPr>
        <w:pStyle w:val="4"/>
        <w:spacing w:before="120" w:after="120" w:line="360" w:lineRule="auto"/>
        <w:ind w:firstLine="480"/>
        <w:rPr>
          <w:rFonts w:hint="default" w:ascii="Times New Roman Regular" w:hAnsi="Times New Roman Regular" w:eastAsia="宋体" w:cs="Times New Roman Regular"/>
          <w:color w:val="000000"/>
          <w:sz w:val="24"/>
          <w:szCs w:val="24"/>
          <w:lang w:val="en-US" w:eastAsia="zh-CN"/>
        </w:rPr>
      </w:pPr>
    </w:p>
    <w:p w14:paraId="48325871">
      <w:pPr>
        <w:pStyle w:val="4"/>
        <w:ind w:left="0" w:leftChars="0" w:firstLine="0" w:firstLineChars="0"/>
        <w:rPr>
          <w:rFonts w:hint="default" w:ascii="Times New Roman" w:hAnsi="Times New Roman" w:eastAsia="黑体" w:cs="Times New Roman"/>
          <w:lang w:val="en-US" w:eastAsia="zh-CN"/>
        </w:rPr>
      </w:pPr>
      <w:r>
        <w:rPr>
          <w:rFonts w:hint="default" w:ascii="Times New Roman" w:hAnsi="Times New Roman" w:eastAsia="黑体" w:cs="Times New Roman"/>
          <w:lang w:val="en-US" w:eastAsia="zh-CN"/>
        </w:rPr>
        <w:t>（3）数据分析阶段</w:t>
      </w:r>
    </w:p>
    <w:p w14:paraId="6AD3293D">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在本研究的视频数据处理中，采用人机协同的方式以确保数据质量和分析的准确性。首先，对原始视频进行预处理，包括统一视频格式、分辨率标准化以及时间戳同步等操作。其次，进行目标检测与跟踪：借助深度学习模型，在每帧图像中识别并定位行人及骑行者，以便于帮助研究人员更好观测并识别行人与骑行者在校园共享道路中的冲突事件及其类别</w:t>
      </w:r>
      <w:r>
        <w:rPr>
          <w:rFonts w:hint="eastAsia" w:ascii="Times New Roman" w:hAnsi="Times New Roman" w:cs="Times New Roman"/>
          <w:lang w:val="en-US" w:eastAsia="zh-CN"/>
        </w:rPr>
        <w:t>。</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此外，TTC是交通冲突技术中最经典且最常用的时间类替代安全指标</w:t>
      </w:r>
      <w:r>
        <w:rPr>
          <w:rFonts w:hint="default" w:ascii="Times New Roman" w:hAnsi="Times New Roman" w:cs="Times New Roman"/>
          <w:lang w:val="en-US" w:eastAsia="zh-CN"/>
          <w:vertAlign w:val="superscript"/>
        </w:rPr>
        <w:t xml:space="preserve">[12-13,15]</w:t>
      </w:r>
      <w:r>
        <w:rPr>
          <w:rFonts w:hint="default" w:ascii="Times New Roman" w:hAnsi="Times New Roman" w:cs="Times New Roman"/>
          <w:lang w:val="en-US" w:eastAsia="zh-CN"/>
        </w:rPr>
        <w:t xml:space="preserve">，被用于衡量两名交通参与者在保持当前速度与方向不变的情况下发生碰撞所需的时间。TTC本质上是一种“危险迫近性”量化指标，能够在事故发生之前反映潜在风险，因此被认为是预测性最强的冲突评估方法之一。在机动车高速场景中，TTC通常被划分为四类：TTC＜1s为严重冲突，1-2s为中度冲突，2-3s为轻微冲突，超过3 s则为潜在冲突。然而，高校共享道路交通具有速度低、轨迹变化大、可供性模糊和注意力分散频繁等特征，使得参与者对危险的反应时间显著延长，从而需要采用更敏感的TTC阈值。因此，针对行人与骑行者在校园共享道路中的冲突研究，本课题对TTC的冲突分级进行了适当调整，如表9所示。</w:t>
      </w:r>
    </w:p>
    <w:p w14:paraId="652C650F">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以教学楼前共享道路为例，行人A与骑行者B在斜向交汇路段接近同一潜在冲突点。通过提取其轨迹数据可知，行人A的速度为1.4 m/s，与冲突点的距离为3.0 m；骑行者B的速度为4.5 m/s，距离为8.0 m。根据两者到达冲突点的时间计算公式，行人A的到达时间为2.14 s，骑行者B为1.78 s，时间差为0.36 s。因此，若双方保持当前速度和方向不变，则TTC=0.36 s。依据本研究的校园慢行交通分级标准（TTC＜1.5 s为严重冲突），该事件可被判定为一级严重冲突。对于AI自动检测出的所有潜在冲突事件，需要进行人工验证与分类。专业标注员对每一起事件进行复核，确保检测结果的准确性，并根据事件特征进行详细编码。</w:t>
      </w:r>
    </w:p>
    <w:p w14:paraId="484B5025">
      <w:pPr>
        <w:pStyle w:val="4"/>
        <w:ind w:left="0" w:leftChars="0" w:firstLine="480" w:firstLineChars="200"/>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cs="Times New Roman"/>
          <w:lang w:val="en-US" w:eastAsia="zh-CN"/>
        </w:rPr>
      </w:pPr>
      <w:r>
        <w:rPr>
          <w:rFonts w:hint="eastAsia" w:ascii="Times New Roman" w:hAnsi="Times New Roman" w:cs="Times New Roman"/>
          <w:lang w:val="en-US" w:eastAsia="zh-CN"/>
        </w:rPr>
        <w:t xml:space="preserve">表9 行人与骑行者在校园共享道路中的TTC分级</w:t>
      </w:r>
    </w:p>
    <w:tbl>
      <w:tblPr>
        <w:tblStyle w:val="9"/>
        <w:tblW w:w="84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2157"/>
        <w:gridCol w:w="2941"/>
        <w:gridCol w:w="1608"/>
      </w:tblGrid>
      <w:tr w14:paraId="5EBD1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4" w:space="0"/>
              <w:left w:val="nil"/>
              <w:bottom w:val="single" w:color="000000" w:sz="12" w:space="0"/>
              <w:right w:val="nil"/>
            </w:tcBorders>
            <w:shd w:val="clear" w:color="auto" w:fill="FFFFFF"/>
            <w:vAlign w:val="center"/>
          </w:tcPr>
          <w:p w14:paraId="68BF6013">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冲突等级</w:t>
            </w:r>
          </w:p>
        </w:tc>
        <w:tc>
          <w:tcPr>
            <w:tcW w:w="2157" w:type="dxa"/>
            <w:tcBorders>
              <w:top w:val="single" w:color="000000" w:sz="4" w:space="0"/>
              <w:left w:val="nil"/>
              <w:bottom w:val="single" w:color="000000" w:sz="12" w:space="0"/>
              <w:right w:val="nil"/>
            </w:tcBorders>
            <w:shd w:val="clear" w:color="auto" w:fill="FFFFFF"/>
            <w:vAlign w:val="center"/>
          </w:tcPr>
          <w:p w14:paraId="7C9E5A8F">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TTC阈值</w:t>
            </w:r>
          </w:p>
        </w:tc>
        <w:tc>
          <w:tcPr>
            <w:tcW w:w="2941" w:type="dxa"/>
            <w:tcBorders>
              <w:top w:val="single" w:color="000000" w:sz="4" w:space="0"/>
              <w:left w:val="nil"/>
              <w:bottom w:val="single" w:color="000000" w:sz="12" w:space="0"/>
              <w:right w:val="nil"/>
            </w:tcBorders>
            <w:shd w:val="clear" w:color="auto" w:fill="FFFFFF"/>
            <w:vAlign w:val="center"/>
          </w:tcPr>
          <w:p w14:paraId="0B333C96">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行为学含义</w:t>
            </w:r>
          </w:p>
        </w:tc>
        <w:tc>
          <w:tcPr>
            <w:tcW w:w="1608" w:type="dxa"/>
            <w:tcBorders>
              <w:top w:val="single" w:color="000000" w:sz="4" w:space="0"/>
              <w:left w:val="nil"/>
              <w:bottom w:val="single" w:color="000000" w:sz="12" w:space="0"/>
              <w:right w:val="nil"/>
            </w:tcBorders>
            <w:shd w:val="clear" w:color="auto" w:fill="FFFFFF"/>
            <w:vAlign w:val="center"/>
          </w:tcPr>
          <w:p w14:paraId="5924E6B2">
            <w:pPr>
              <w:keepNext w:val="0"/>
              <w:keepLines w:val="0"/>
              <w:widowControl/>
              <w:suppressLineNumbers w:val="0"/>
              <w:jc w:val="center"/>
              <w:rPr>
                <w:rFonts w:hint="default" w:ascii="Times New Roman" w:hAnsi="Times New Roman" w:cs="Times New Roman"/>
                <w:b/>
                <w:bCs w:val="0"/>
                <w:color w:val="000000"/>
                <w:sz w:val="20"/>
                <w:szCs w:val="22"/>
                <w:vertAlign w:val="baseline"/>
                <w:lang w:val="en-US" w:eastAsia="zh-CN"/>
              </w:rPr>
            </w:pPr>
            <w:r>
              <w:rPr>
                <w:rFonts w:hint="default" w:ascii="Times New Roman" w:hAnsi="Times New Roman" w:eastAsia="宋体" w:cs="Times New Roman"/>
                <w:b/>
                <w:bCs w:val="0"/>
                <w:color w:val="000000"/>
                <w:kern w:val="0"/>
                <w:sz w:val="22"/>
                <w:szCs w:val="22"/>
                <w:lang w:val="en-US" w:eastAsia="zh-CN" w:bidi="ar"/>
              </w:rPr>
              <w:t>适用</w:t>
            </w:r>
            <w:r>
              <w:rPr>
                <w:rFonts w:hint="eastAsia" w:ascii="Times New Roman" w:hAnsi="Times New Roman" w:eastAsia="宋体" w:cs="Times New Roman"/>
                <w:b/>
                <w:bCs w:val="0"/>
                <w:color w:val="000000"/>
                <w:kern w:val="0"/>
                <w:sz w:val="22"/>
                <w:szCs w:val="22"/>
                <w:lang w:val="en-US" w:eastAsia="zh-CN" w:bidi="ar"/>
              </w:rPr>
              <w:t>场景</w:t>
            </w:r>
          </w:p>
        </w:tc>
      </w:tr>
      <w:tr w14:paraId="3117C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single" w:color="000000" w:sz="12" w:space="0"/>
              <w:left w:val="nil"/>
              <w:bottom w:val="nil"/>
              <w:right w:val="nil"/>
            </w:tcBorders>
            <w:shd w:val="clear" w:color="auto" w:fill="FFFFFF"/>
            <w:vAlign w:val="center"/>
          </w:tcPr>
          <w:p w14:paraId="12250DF8">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一级：严重冲突（Severe）</w:t>
            </w:r>
          </w:p>
        </w:tc>
        <w:tc>
          <w:tcPr>
            <w:tcW w:w="2157" w:type="dxa"/>
            <w:tcBorders>
              <w:top w:val="single" w:color="000000" w:sz="12" w:space="0"/>
              <w:left w:val="nil"/>
              <w:bottom w:val="nil"/>
              <w:right w:val="nil"/>
            </w:tcBorders>
            <w:shd w:val="clear" w:color="auto" w:fill="FFFFFF"/>
            <w:vAlign w:val="center"/>
          </w:tcPr>
          <w:p w14:paraId="0DD1FF7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TTC&lt;1.5 s</w:t>
            </w:r>
          </w:p>
        </w:tc>
        <w:tc>
          <w:tcPr>
            <w:tcW w:w="2941" w:type="dxa"/>
            <w:tcBorders>
              <w:top w:val="single" w:color="000000" w:sz="12" w:space="0"/>
              <w:left w:val="nil"/>
              <w:bottom w:val="nil"/>
              <w:right w:val="nil"/>
            </w:tcBorders>
            <w:shd w:val="clear" w:color="auto" w:fill="FFFFFF"/>
            <w:vAlign w:val="center"/>
          </w:tcPr>
          <w:p w14:paraId="301CD1C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已处于高度危险，双方必须立刻紧急制动或急转向才能避免碰撞</w:t>
            </w:r>
          </w:p>
        </w:tc>
        <w:tc>
          <w:tcPr>
            <w:tcW w:w="1608" w:type="dxa"/>
            <w:tcBorders>
              <w:top w:val="single" w:color="000000" w:sz="12" w:space="0"/>
              <w:left w:val="nil"/>
              <w:bottom w:val="nil"/>
              <w:right w:val="nil"/>
            </w:tcBorders>
            <w:shd w:val="clear" w:color="auto" w:fill="FFFFFF"/>
            <w:vAlign w:val="center"/>
          </w:tcPr>
          <w:p w14:paraId="39578347">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弯道、出口、视距受限或注意力分散场景常见</w:t>
            </w:r>
          </w:p>
        </w:tc>
      </w:tr>
      <w:tr w14:paraId="787A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4A990D55">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二级：中度冲突（Moderate）</w:t>
            </w:r>
          </w:p>
        </w:tc>
        <w:tc>
          <w:tcPr>
            <w:tcW w:w="2157" w:type="dxa"/>
            <w:tcBorders>
              <w:top w:val="nil"/>
              <w:left w:val="nil"/>
              <w:bottom w:val="nil"/>
              <w:right w:val="nil"/>
            </w:tcBorders>
            <w:shd w:val="clear" w:color="auto" w:fill="FFFFFF"/>
            <w:vAlign w:val="center"/>
          </w:tcPr>
          <w:p w14:paraId="6400337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1.5 s≤TTC&lt;2.5 s</w:t>
            </w:r>
          </w:p>
        </w:tc>
        <w:tc>
          <w:tcPr>
            <w:tcW w:w="2941" w:type="dxa"/>
            <w:tcBorders>
              <w:top w:val="nil"/>
              <w:left w:val="nil"/>
              <w:bottom w:val="nil"/>
              <w:right w:val="nil"/>
            </w:tcBorders>
            <w:shd w:val="clear" w:color="auto" w:fill="FFFFFF"/>
            <w:vAlign w:val="center"/>
          </w:tcPr>
          <w:p w14:paraId="23850C8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已进入不安全</w:t>
            </w:r>
            <w:r>
              <w:rPr>
                <w:rFonts w:hint="eastAsia" w:ascii="Times New Roman" w:hAnsi="Times New Roman" w:eastAsia="宋体" w:cs="Times New Roman"/>
                <w:b w:val="0"/>
                <w:color w:val="000000"/>
                <w:kern w:val="0"/>
                <w:sz w:val="22"/>
                <w:szCs w:val="22"/>
                <w:lang w:val="en-US" w:eastAsia="zh-CN" w:bidi="ar"/>
              </w:rPr>
              <w:t>的范畴</w:t>
            </w:r>
            <w:r>
              <w:rPr>
                <w:rFonts w:hint="default" w:ascii="Times New Roman" w:hAnsi="Times New Roman" w:eastAsia="宋体" w:cs="Times New Roman"/>
                <w:b w:val="0"/>
                <w:color w:val="000000"/>
                <w:kern w:val="0"/>
                <w:sz w:val="22"/>
                <w:szCs w:val="22"/>
                <w:lang w:val="en-US" w:eastAsia="zh-CN" w:bidi="ar"/>
              </w:rPr>
              <w:t>，双方需要快速调整速度或方向</w:t>
            </w:r>
          </w:p>
        </w:tc>
        <w:tc>
          <w:tcPr>
            <w:tcW w:w="1608" w:type="dxa"/>
            <w:tcBorders>
              <w:top w:val="nil"/>
              <w:left w:val="nil"/>
              <w:bottom w:val="nil"/>
              <w:right w:val="nil"/>
            </w:tcBorders>
            <w:shd w:val="clear" w:color="auto" w:fill="FFFFFF"/>
            <w:vAlign w:val="center"/>
          </w:tcPr>
          <w:p w14:paraId="6D38D6BC">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常见于教学楼门口、瓶颈路段</w:t>
            </w:r>
          </w:p>
        </w:tc>
      </w:tr>
      <w:tr w14:paraId="4701D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nil"/>
              <w:right w:val="nil"/>
            </w:tcBorders>
            <w:shd w:val="clear" w:color="auto" w:fill="FFFFFF"/>
            <w:vAlign w:val="center"/>
          </w:tcPr>
          <w:p w14:paraId="2D3057B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三级：轻微冲突（Minor）</w:t>
            </w:r>
          </w:p>
        </w:tc>
        <w:tc>
          <w:tcPr>
            <w:tcW w:w="2157" w:type="dxa"/>
            <w:tcBorders>
              <w:top w:val="nil"/>
              <w:left w:val="nil"/>
              <w:bottom w:val="nil"/>
              <w:right w:val="nil"/>
            </w:tcBorders>
            <w:shd w:val="clear" w:color="auto" w:fill="FFFFFF"/>
            <w:vAlign w:val="center"/>
          </w:tcPr>
          <w:p w14:paraId="14CEE93A">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2.5 s≤TTC&lt;3.5 s</w:t>
            </w:r>
          </w:p>
        </w:tc>
        <w:tc>
          <w:tcPr>
            <w:tcW w:w="2941" w:type="dxa"/>
            <w:tcBorders>
              <w:top w:val="nil"/>
              <w:left w:val="nil"/>
              <w:bottom w:val="nil"/>
              <w:right w:val="nil"/>
            </w:tcBorders>
            <w:shd w:val="clear" w:color="auto" w:fill="FFFFFF"/>
            <w:vAlign w:val="center"/>
          </w:tcPr>
          <w:p w14:paraId="1FD9FD6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有一定反应时间，但已影响正常通行，需要避让</w:t>
            </w:r>
          </w:p>
        </w:tc>
        <w:tc>
          <w:tcPr>
            <w:tcW w:w="1608" w:type="dxa"/>
            <w:tcBorders>
              <w:top w:val="nil"/>
              <w:left w:val="nil"/>
              <w:bottom w:val="nil"/>
              <w:right w:val="nil"/>
            </w:tcBorders>
            <w:shd w:val="clear" w:color="auto" w:fill="FFFFFF"/>
            <w:vAlign w:val="center"/>
          </w:tcPr>
          <w:p w14:paraId="388A76F4">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典型的“擦身而过”场景</w:t>
            </w:r>
          </w:p>
        </w:tc>
      </w:tr>
      <w:tr w14:paraId="6DF7C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Borders>
              <w:top w:val="nil"/>
              <w:left w:val="nil"/>
              <w:bottom w:val="single" w:color="000000" w:sz="4" w:space="0"/>
              <w:right w:val="nil"/>
            </w:tcBorders>
            <w:shd w:val="clear" w:color="auto" w:fill="FFFFFF"/>
            <w:vAlign w:val="center"/>
          </w:tcPr>
          <w:p w14:paraId="763DCF4E">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四级：潜在冲突（Potential）</w:t>
            </w:r>
          </w:p>
        </w:tc>
        <w:tc>
          <w:tcPr>
            <w:tcW w:w="2157" w:type="dxa"/>
            <w:tcBorders>
              <w:top w:val="nil"/>
              <w:left w:val="nil"/>
              <w:bottom w:val="single" w:color="000000" w:sz="4" w:space="0"/>
              <w:right w:val="nil"/>
            </w:tcBorders>
            <w:shd w:val="clear" w:color="auto" w:fill="FFFFFF"/>
            <w:vAlign w:val="center"/>
          </w:tcPr>
          <w:p w14:paraId="43F223C2">
            <w:pPr>
              <w:keepNext w:val="0"/>
              <w:keepLines w:val="0"/>
              <w:widowControl/>
              <w:suppressLineNumbers w:val="0"/>
              <w:jc w:val="left"/>
              <w:rPr>
                <w:rStyle w:val="11"/>
                <w:rFonts w:hint="default" w:ascii="Times New Roman" w:hAnsi="Times New Roman" w:eastAsia="宋体" w:cs="Times New Roman"/>
                <w:b w:val="0"/>
                <w:color w:val="000000"/>
                <w:kern w:val="0"/>
                <w:sz w:val="22"/>
                <w:szCs w:val="22"/>
                <w:lang w:val="en-US" w:eastAsia="zh-CN" w:bidi="ar"/>
              </w:rPr>
            </w:pPr>
            <w:r>
              <w:rPr>
                <w:rStyle w:val="11"/>
                <w:rFonts w:hint="default" w:ascii="Times New Roman" w:hAnsi="Times New Roman" w:eastAsia="宋体" w:cs="Times New Roman"/>
                <w:b w:val="0"/>
                <w:color w:val="000000"/>
                <w:kern w:val="0"/>
                <w:sz w:val="22"/>
                <w:szCs w:val="22"/>
                <w:lang w:val="en-US" w:eastAsia="zh-CN" w:bidi="ar"/>
              </w:rPr>
              <w:t>TTC≥3.5 s</w:t>
            </w:r>
          </w:p>
          <w:p w14:paraId="14E8ECF9">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Style w:val="11"/>
                <w:rFonts w:hint="default" w:ascii="Times New Roman" w:hAnsi="Times New Roman" w:eastAsia="宋体" w:cs="Times New Roman"/>
                <w:b w:val="0"/>
                <w:color w:val="000000"/>
                <w:kern w:val="0"/>
                <w:sz w:val="22"/>
                <w:szCs w:val="22"/>
                <w:lang w:val="en-US" w:eastAsia="zh-CN" w:bidi="ar"/>
              </w:rPr>
              <w:t>（但伴随明显避让行为）</w:t>
            </w:r>
          </w:p>
        </w:tc>
        <w:tc>
          <w:tcPr>
            <w:tcW w:w="2941" w:type="dxa"/>
            <w:tcBorders>
              <w:top w:val="nil"/>
              <w:left w:val="nil"/>
              <w:bottom w:val="single" w:color="000000" w:sz="4" w:space="0"/>
              <w:right w:val="nil"/>
            </w:tcBorders>
            <w:shd w:val="clear" w:color="auto" w:fill="FFFFFF"/>
            <w:vAlign w:val="center"/>
          </w:tcPr>
          <w:p w14:paraId="0B86843B">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虽未</w:t>
            </w:r>
            <w:r>
              <w:rPr>
                <w:rFonts w:hint="eastAsia" w:ascii="Times New Roman" w:hAnsi="Times New Roman" w:eastAsia="宋体" w:cs="Times New Roman"/>
                <w:b w:val="0"/>
                <w:color w:val="000000"/>
                <w:kern w:val="0"/>
                <w:sz w:val="22"/>
                <w:szCs w:val="22"/>
                <w:lang w:val="en-US" w:eastAsia="zh-CN" w:bidi="ar"/>
              </w:rPr>
              <w:t>达到</w:t>
            </w:r>
            <w:r>
              <w:rPr>
                <w:rFonts w:hint="default" w:ascii="Times New Roman" w:hAnsi="Times New Roman" w:eastAsia="宋体" w:cs="Times New Roman"/>
                <w:b w:val="0"/>
                <w:color w:val="000000"/>
                <w:kern w:val="0"/>
                <w:sz w:val="22"/>
                <w:szCs w:val="22"/>
                <w:lang w:val="en-US" w:eastAsia="zh-CN" w:bidi="ar"/>
              </w:rPr>
              <w:t>危险阈值，但存在注意力分散、路径纠错等行为线索</w:t>
            </w:r>
          </w:p>
        </w:tc>
        <w:tc>
          <w:tcPr>
            <w:tcW w:w="1608" w:type="dxa"/>
            <w:tcBorders>
              <w:top w:val="nil"/>
              <w:left w:val="nil"/>
              <w:bottom w:val="single" w:color="000000" w:sz="4" w:space="0"/>
              <w:right w:val="nil"/>
            </w:tcBorders>
            <w:shd w:val="clear" w:color="auto" w:fill="FFFFFF"/>
            <w:vAlign w:val="center"/>
          </w:tcPr>
          <w:p w14:paraId="6ECB5BB0">
            <w:pPr>
              <w:keepNext w:val="0"/>
              <w:keepLines w:val="0"/>
              <w:widowControl/>
              <w:suppressLineNumbers w:val="0"/>
              <w:jc w:val="left"/>
              <w:rPr>
                <w:rFonts w:hint="default" w:ascii="Times New Roman" w:hAnsi="Times New Roman" w:cs="Times New Roman"/>
                <w:b w:val="0"/>
                <w:color w:val="000000"/>
                <w:sz w:val="20"/>
                <w:szCs w:val="22"/>
                <w:vertAlign w:val="baseline"/>
                <w:lang w:val="en-US" w:eastAsia="zh-CN"/>
              </w:rPr>
            </w:pPr>
            <w:r>
              <w:rPr>
                <w:rFonts w:hint="default" w:ascii="Times New Roman" w:hAnsi="Times New Roman" w:eastAsia="宋体" w:cs="Times New Roman"/>
                <w:b w:val="0"/>
                <w:color w:val="000000"/>
                <w:kern w:val="0"/>
                <w:sz w:val="22"/>
                <w:szCs w:val="22"/>
                <w:lang w:val="en-US" w:eastAsia="zh-CN" w:bidi="ar"/>
              </w:rPr>
              <w:t>步行区与骑行区交叉口常见</w:t>
            </w:r>
          </w:p>
        </w:tc>
      </w:tr>
    </w:tbl>
    <w:p w14:paraId="05504A99">
      <w:pPr>
        <w:pStyle w:val="4"/>
        <w:ind w:left="0" w:leftChars="0" w:firstLine="480" w:firstLineChars="200"/>
        <w:jc w:val="both"/>
        <w:rPr>
          <w:rFonts w:hint="default" w:ascii="Times New Roman" w:hAnsi="Times New Roman" w:eastAsia="宋体" w:cs="Times New Roman"/>
        </w:rPr>
      </w:pP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访谈数据方面，本研究采用主题分析法进行处理</w:t>
      </w:r>
      <w:r>
        <w:rPr>
          <w:rFonts w:hint="default" w:ascii="Times New Roman" w:hAnsi="Times New Roman" w:cs="Times New Roman"/>
          <w:lang w:val="en-US" w:eastAsia="zh-CN"/>
          <w:vertAlign w:val="superscript"/>
        </w:rPr>
        <w:t xml:space="preserve">[63]</w:t>
      </w:r>
      <w:r>
        <w:rPr>
          <w:rFonts w:hint="default" w:ascii="Times New Roman" w:hAnsi="Times New Roman" w:cs="Times New Roman"/>
          <w:lang w:val="en-US" w:eastAsia="zh-CN"/>
        </w:rPr>
        <w:t xml:space="preserve">。首先，将53份访谈录音进行逐字转录，形成文本材料。研究团队按照传统的质性分析程序实施三级编码</w:t>
      </w:r>
      <w:r>
        <w:rPr>
          <w:rFonts w:hint="default" w:ascii="Times New Roman" w:hAnsi="Times New Roman" w:cs="Times New Roman"/>
          <w:lang w:val="en-US" w:eastAsia="zh-CN"/>
          <w:vertAlign w:val="superscript"/>
        </w:rPr>
        <w:t xml:space="preserve">[64]</w:t>
      </w:r>
      <w:r>
        <w:rPr>
          <w:rFonts w:hint="default" w:ascii="Times New Roman" w:hAnsi="Times New Roman" w:cs="Times New Roman"/>
          <w:lang w:val="en-US" w:eastAsia="zh-CN"/>
        </w:rPr>
        <w:t xml:space="preserve">：通过开放式编码识别出286个初始概念，再通过轴心编码将这些概念归纳为42个类属，最后通过选择性编码提炼出8个核心主题。这一编码过程在两名研究者间交叉进行，并通过讨论达成编码一致性，以揭示访谈材料中的主要主题和潜在逻辑。</w:t>
      </w:r>
    </w:p>
    <w:p w14:paraId="430D7900">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问卷采用线上线下相结合的方式进行数据采集。线上问卷通过问卷星平台发布，线下问卷则由调查员在12个观察点位现场街头拦截式调研。同时，使用“滚雪球抽样法”重点收集在该点位有实际使用经验的师生意见。为确保问卷质量，研究团队设置了注意力检查题和逻辑一致性检查机制，剔除明显不认真作答的问卷，最终有效问卷数量与有效率见前文数据采集阶段的说明。</w:t>
      </w:r>
    </w:p>
    <w:p w14:paraId="353B9EF9">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通过问卷调查获得的主观感知数据与前期客观测量数据进行了交叉验证。相关分析显示，客观环境指标与主观感知评价之间存在显著的正相关关系，表明使用者能够较为准确地感知环境特征，也证明了问卷设计的有效性。同时，问卷中收集的开放式意见和改善建议为后续制定优化方案提供了宝贵的一手资料，使研究成果更加贴近实际需求，具有更强的实践指导价值。</w:t>
      </w:r>
    </w:p>
    <w:p w14:paraId="707023E3">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2校园共享交通道路冲突事件的数据分析</w:t>
      </w:r>
    </w:p>
    <w:p w14:paraId="7278A9D6">
      <w:pPr>
        <w:pStyle w:val="4"/>
        <w:ind w:left="0" w:leftChars="0" w:firstLine="0" w:firstLineChars="0"/>
        <w:rPr>
          <w:rFonts w:hint="eastAsia" w:ascii="黑体" w:hAnsi="黑体" w:eastAsia="黑体" w:cs="黑体"/>
          <w:lang w:val="en-US" w:eastAsia="zh-CN"/>
        </w:rPr>
      </w:pPr>
      <w:r>
        <w:rPr>
          <w:rFonts w:hint="eastAsia" w:ascii="黑体" w:hAnsi="黑体" w:eastAsia="黑体" w:cs="黑体"/>
          <w:lang w:val="en-US" w:eastAsia="zh-CN"/>
        </w:rPr>
        <w:t>（1）冲突事件总体分布</w:t>
      </w:r>
    </w:p>
    <w:p w14:paraId="380C6E0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经过系统观察和分析，共识别出294起有效冲突事件。按严重程度分类：严重冲突43起（占14.6%），中度冲突93起（占31.6%），轻微冲突116起（占39.5%），潜在冲突42起（占14.3%）。这些冲突事件在时间和空间维度上呈现出明显的分布规律。</w:t>
      </w:r>
    </w:p>
    <w:p w14:paraId="69478DC7">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从时段分布角度考察，早高峰时段是冲突事件最为集中的时段，该时段内共发生冲突事件83起，占冲突事件总数的28.2%，这一情况与早课开始前7时30分至8时这一时间段内人员集中出行的现象高度契合。晚高峰时段冲突事件的发生数量次之，为77起，占总数的26.2%，主要集中于下午课程结束后的17时至18时。午高峰时段发生冲突事件65起，占总数的22.1%，这与中午就餐时段人员流量集中的情况密切相关。其余非高峰时段发生的零散冲突事件总计69起，占总数的23.5%，这些冲突事件的分布相对均匀，且引发冲突的原因具有多样性特征。</w:t>
      </w:r>
    </w:p>
    <w:p w14:paraId="2DE1F24C">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）冲突事件空间分布特征</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冲突事件在空间上呈现明显的热点聚集现象，本研究识别出五个主要冲突热点区域（具体点位数据如表10所示，如图3、图4所示）。工程一号楼主入口区域位居首位，累计发生冲突43起，占总数的14.6%，该区域在早晚课时段因大量学生集中进出而形成明显的交通瓶颈，道路宽度且缺乏有效的人车分流设施。西苑食堂T字路口紧随其后，发生冲突36起，占12.2%，该路口连接主要教学区与生活区，形成交通流的高度交汇点，高峰时段每小时人流量超过800人次。西苑公寓发生冲突27起，占9.2%，该路段因停放机动车与非机动车较多，导致骑行者与行人之间的有效视距不足。中央大道主校道横纵轴连接处发生冲突25起，占8.5%，该区域在下午16时至18时的课外活动时段交通密度显著提升，部分学生在体育锻炼后处于疲劳状态，反应能力和注意力水平下降。图书馆南门发生冲突21起，占7.1%，该区域的冲突主要源于人群的随机运动模式，以及该位置位于通往教学楼、图书馆、食堂及宿舍多个区域的路段，导致该区域交通组织混乱。上述5个热点区域的冲突事件合计152起，占总数的51.7%，显示出冲突事件的高度空间集中特征。其余七个观察点位分布较为分散，合计发生冲突142起，占48.3%，这些区域的冲突发生率相对较低，且多为偶发性事件。</w:t>
      </w:r>
    </w:p>
    <w:p w14:paraId="07F05B66">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表10 冲突事件空间分布统计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6"/>
        <w:gridCol w:w="3379"/>
        <w:gridCol w:w="1033"/>
        <w:gridCol w:w="1317"/>
        <w:gridCol w:w="1240"/>
      </w:tblGrid>
      <w:tr w14:paraId="0045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1026" w:type="dxa"/>
            <w:tcBorders>
              <w:top w:val="single" w:color="000000" w:sz="4" w:space="0"/>
              <w:left w:val="nil"/>
              <w:bottom w:val="single" w:color="000000" w:sz="12" w:space="0"/>
              <w:right w:val="nil"/>
            </w:tcBorders>
            <w:shd w:val="clear" w:color="auto" w:fill="FFFFFF"/>
            <w:vAlign w:val="center"/>
          </w:tcPr>
          <w:p w14:paraId="152B38F1">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观察点</w:t>
            </w:r>
          </w:p>
        </w:tc>
        <w:tc>
          <w:tcPr>
            <w:tcW w:w="3379" w:type="dxa"/>
            <w:tcBorders>
              <w:top w:val="single" w:color="000000" w:sz="4" w:space="0"/>
              <w:left w:val="nil"/>
              <w:bottom w:val="single" w:color="000000" w:sz="12" w:space="0"/>
              <w:right w:val="nil"/>
            </w:tcBorders>
            <w:shd w:val="clear" w:color="auto" w:fill="FFFFFF"/>
            <w:vAlign w:val="center"/>
          </w:tcPr>
          <w:p w14:paraId="461EE5AC">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位置</w:t>
            </w:r>
          </w:p>
        </w:tc>
        <w:tc>
          <w:tcPr>
            <w:tcW w:w="1033" w:type="dxa"/>
            <w:tcBorders>
              <w:top w:val="single" w:color="000000" w:sz="4" w:space="0"/>
              <w:left w:val="nil"/>
              <w:bottom w:val="single" w:color="000000" w:sz="12" w:space="0"/>
              <w:right w:val="nil"/>
            </w:tcBorders>
            <w:shd w:val="clear" w:color="auto" w:fill="FFFFFF"/>
            <w:vAlign w:val="center"/>
          </w:tcPr>
          <w:p w14:paraId="6C45CC5D">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val="0"/>
                <w:color w:val="000000"/>
                <w:kern w:val="0"/>
                <w:sz w:val="24"/>
                <w:szCs w:val="24"/>
                <w:lang w:val="en-US" w:eastAsia="zh-CN" w:bidi="ar"/>
              </w:rPr>
              <w:t>冲突数</w:t>
            </w:r>
          </w:p>
        </w:tc>
        <w:tc>
          <w:tcPr>
            <w:tcW w:w="1317" w:type="dxa"/>
            <w:tcBorders>
              <w:top w:val="single" w:color="000000" w:sz="4" w:space="0"/>
              <w:left w:val="nil"/>
              <w:bottom w:val="single" w:color="000000" w:sz="12" w:space="0"/>
              <w:right w:val="nil"/>
            </w:tcBorders>
            <w:shd w:val="clear" w:color="auto" w:fill="FFFFFF"/>
            <w:vAlign w:val="center"/>
          </w:tcPr>
          <w:p w14:paraId="3C79C895">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占比</w:t>
            </w:r>
            <w:r>
              <w:rPr>
                <w:rFonts w:hint="eastAsia" w:ascii="Times New Roman" w:hAnsi="Times New Roman" w:eastAsia="宋体" w:cs="Times New Roman"/>
                <w:b/>
                <w:bCs w:val="0"/>
                <w:color w:val="000000"/>
                <w:kern w:val="0"/>
                <w:sz w:val="24"/>
                <w:szCs w:val="24"/>
                <w:lang w:val="en-US" w:eastAsia="zh-CN" w:bidi="ar"/>
              </w:rPr>
              <w:t>（</w:t>
            </w:r>
            <w:r>
              <w:rPr>
                <w:rFonts w:hint="default" w:ascii="Times New Roman" w:hAnsi="Times New Roman" w:eastAsia="宋体" w:cs="Times New Roman"/>
                <w:b/>
                <w:bCs w:val="0"/>
                <w:color w:val="000000"/>
                <w:kern w:val="0"/>
                <w:sz w:val="24"/>
                <w:szCs w:val="24"/>
                <w:lang w:val="en-US" w:eastAsia="zh-CN" w:bidi="ar"/>
              </w:rPr>
              <w:t>%</w:t>
            </w:r>
            <w:r>
              <w:rPr>
                <w:rFonts w:hint="eastAsia" w:ascii="Times New Roman" w:hAnsi="Times New Roman" w:eastAsia="宋体" w:cs="Times New Roman"/>
                <w:b/>
                <w:bCs w:val="0"/>
                <w:color w:val="000000"/>
                <w:kern w:val="0"/>
                <w:sz w:val="24"/>
                <w:szCs w:val="24"/>
                <w:lang w:val="en-US" w:eastAsia="zh-CN" w:bidi="ar"/>
              </w:rPr>
              <w:t>）</w:t>
            </w:r>
          </w:p>
        </w:tc>
        <w:tc>
          <w:tcPr>
            <w:tcW w:w="1240" w:type="dxa"/>
            <w:tcBorders>
              <w:top w:val="single" w:color="000000" w:sz="4" w:space="0"/>
              <w:left w:val="nil"/>
              <w:bottom w:val="single" w:color="000000" w:sz="12" w:space="0"/>
              <w:right w:val="nil"/>
            </w:tcBorders>
            <w:shd w:val="clear" w:color="auto" w:fill="FFFFFF"/>
            <w:vAlign w:val="center"/>
          </w:tcPr>
          <w:p w14:paraId="48677C11">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val="0"/>
                <w:color w:val="000000"/>
                <w:kern w:val="0"/>
                <w:sz w:val="24"/>
                <w:szCs w:val="24"/>
                <w:lang w:val="en-US" w:eastAsia="zh-CN" w:bidi="ar"/>
              </w:rPr>
              <w:t>严重等级</w:t>
            </w:r>
          </w:p>
        </w:tc>
      </w:tr>
      <w:tr w14:paraId="42F89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single" w:color="000000" w:sz="12" w:space="0"/>
              <w:left w:val="nil"/>
              <w:bottom w:val="nil"/>
              <w:right w:val="nil"/>
            </w:tcBorders>
            <w:shd w:val="clear" w:color="auto" w:fill="FFFFFF"/>
            <w:vAlign w:val="center"/>
          </w:tcPr>
          <w:p w14:paraId="47B1628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2</w:t>
            </w:r>
          </w:p>
        </w:tc>
        <w:tc>
          <w:tcPr>
            <w:tcW w:w="3379" w:type="dxa"/>
            <w:tcBorders>
              <w:top w:val="single" w:color="000000" w:sz="12" w:space="0"/>
              <w:left w:val="nil"/>
              <w:bottom w:val="nil"/>
              <w:right w:val="nil"/>
            </w:tcBorders>
            <w:shd w:val="clear" w:color="auto" w:fill="FFFFFF"/>
            <w:vAlign w:val="center"/>
          </w:tcPr>
          <w:p w14:paraId="6D0DEC4D">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工程一号楼主入口</w:t>
            </w:r>
          </w:p>
        </w:tc>
        <w:tc>
          <w:tcPr>
            <w:tcW w:w="1033" w:type="dxa"/>
            <w:tcBorders>
              <w:top w:val="single" w:color="000000" w:sz="12" w:space="0"/>
              <w:left w:val="nil"/>
              <w:bottom w:val="nil"/>
              <w:right w:val="nil"/>
            </w:tcBorders>
            <w:shd w:val="clear" w:color="auto" w:fill="FFFFFF"/>
            <w:vAlign w:val="center"/>
          </w:tcPr>
          <w:p w14:paraId="032EB9B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43</w:t>
            </w:r>
          </w:p>
        </w:tc>
        <w:tc>
          <w:tcPr>
            <w:tcW w:w="1317" w:type="dxa"/>
            <w:tcBorders>
              <w:top w:val="single" w:color="000000" w:sz="12" w:space="0"/>
              <w:left w:val="nil"/>
              <w:bottom w:val="nil"/>
              <w:right w:val="nil"/>
            </w:tcBorders>
            <w:shd w:val="clear" w:color="auto" w:fill="FFFFFF"/>
            <w:vAlign w:val="center"/>
          </w:tcPr>
          <w:p w14:paraId="67C8DA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14.6</w:t>
            </w:r>
          </w:p>
        </w:tc>
        <w:tc>
          <w:tcPr>
            <w:tcW w:w="1240" w:type="dxa"/>
            <w:tcBorders>
              <w:top w:val="single" w:color="000000" w:sz="12" w:space="0"/>
              <w:left w:val="nil"/>
              <w:bottom w:val="nil"/>
              <w:right w:val="nil"/>
            </w:tcBorders>
            <w:shd w:val="clear" w:color="auto" w:fill="FFFFFF"/>
            <w:vAlign w:val="center"/>
          </w:tcPr>
          <w:p w14:paraId="14B6238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5313F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08BDA3A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5</w:t>
            </w:r>
          </w:p>
        </w:tc>
        <w:tc>
          <w:tcPr>
            <w:tcW w:w="3379" w:type="dxa"/>
            <w:tcBorders>
              <w:top w:val="nil"/>
              <w:left w:val="nil"/>
              <w:bottom w:val="nil"/>
              <w:right w:val="nil"/>
            </w:tcBorders>
            <w:shd w:val="clear" w:color="auto" w:fill="FFFFFF"/>
            <w:vAlign w:val="center"/>
          </w:tcPr>
          <w:p w14:paraId="79444D0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kern w:val="0"/>
                <w:sz w:val="24"/>
                <w:szCs w:val="24"/>
                <w:lang w:val="en-US" w:eastAsia="zh-CN" w:bidi="ar"/>
              </w:rPr>
              <w:t>西苑食堂</w:t>
            </w:r>
            <w:r>
              <w:rPr>
                <w:rFonts w:hint="default" w:ascii="Times New Roman" w:hAnsi="Times New Roman" w:eastAsia="宋体" w:cs="Times New Roman"/>
                <w:b w:val="0"/>
                <w:color w:val="000000"/>
                <w:kern w:val="0"/>
                <w:sz w:val="24"/>
                <w:szCs w:val="24"/>
                <w:lang w:val="en-US" w:eastAsia="zh-CN" w:bidi="ar"/>
              </w:rPr>
              <w:t>T字路口</w:t>
            </w:r>
          </w:p>
        </w:tc>
        <w:tc>
          <w:tcPr>
            <w:tcW w:w="1033" w:type="dxa"/>
            <w:tcBorders>
              <w:top w:val="nil"/>
              <w:left w:val="nil"/>
              <w:bottom w:val="nil"/>
              <w:right w:val="nil"/>
            </w:tcBorders>
            <w:shd w:val="clear" w:color="auto" w:fill="FFFFFF"/>
            <w:vAlign w:val="center"/>
          </w:tcPr>
          <w:p w14:paraId="0C2CFFA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36</w:t>
            </w:r>
          </w:p>
        </w:tc>
        <w:tc>
          <w:tcPr>
            <w:tcW w:w="1317" w:type="dxa"/>
            <w:tcBorders>
              <w:top w:val="nil"/>
              <w:left w:val="nil"/>
              <w:bottom w:val="nil"/>
              <w:right w:val="nil"/>
            </w:tcBorders>
            <w:shd w:val="clear" w:color="auto" w:fill="FFFFFF"/>
            <w:vAlign w:val="center"/>
          </w:tcPr>
          <w:p w14:paraId="588B458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12.2</w:t>
            </w:r>
          </w:p>
        </w:tc>
        <w:tc>
          <w:tcPr>
            <w:tcW w:w="1240" w:type="dxa"/>
            <w:tcBorders>
              <w:top w:val="nil"/>
              <w:left w:val="nil"/>
              <w:bottom w:val="nil"/>
              <w:right w:val="nil"/>
            </w:tcBorders>
            <w:shd w:val="clear" w:color="auto" w:fill="FFFFFF"/>
            <w:vAlign w:val="center"/>
          </w:tcPr>
          <w:p w14:paraId="6A3FA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极高</w:t>
            </w:r>
          </w:p>
        </w:tc>
      </w:tr>
      <w:tr w14:paraId="2457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4DFD50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 xml:space="preserve">P10</w:t>
            </w:r>
          </w:p>
        </w:tc>
        <w:tc>
          <w:tcPr>
            <w:tcW w:w="3379" w:type="dxa"/>
            <w:tcBorders>
              <w:top w:val="nil"/>
              <w:left w:val="nil"/>
              <w:bottom w:val="nil"/>
              <w:right w:val="nil"/>
            </w:tcBorders>
            <w:shd w:val="clear" w:color="auto" w:fill="FFFFFF"/>
            <w:vAlign w:val="center"/>
          </w:tcPr>
          <w:p w14:paraId="6A8B904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eastAsia" w:ascii="Times New Roman" w:hAnsi="Times New Roman" w:eastAsia="宋体" w:cs="Times New Roman"/>
                <w:b w:val="0"/>
                <w:color w:val="000000"/>
                <w:sz w:val="24"/>
                <w:szCs w:val="24"/>
                <w:vertAlign w:val="baseline"/>
                <w:lang w:val="en-US" w:eastAsia="zh-CN"/>
              </w:rPr>
              <w:t>西苑公寓</w:t>
            </w:r>
          </w:p>
        </w:tc>
        <w:tc>
          <w:tcPr>
            <w:tcW w:w="1033" w:type="dxa"/>
            <w:tcBorders>
              <w:top w:val="nil"/>
              <w:left w:val="nil"/>
              <w:bottom w:val="nil"/>
              <w:right w:val="nil"/>
            </w:tcBorders>
            <w:shd w:val="clear" w:color="auto" w:fill="FFFFFF"/>
            <w:vAlign w:val="center"/>
          </w:tcPr>
          <w:p w14:paraId="56D927E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27</w:t>
            </w:r>
          </w:p>
        </w:tc>
        <w:tc>
          <w:tcPr>
            <w:tcW w:w="1317" w:type="dxa"/>
            <w:tcBorders>
              <w:top w:val="nil"/>
              <w:left w:val="nil"/>
              <w:bottom w:val="nil"/>
              <w:right w:val="nil"/>
            </w:tcBorders>
            <w:shd w:val="clear" w:color="auto" w:fill="FFFFFF"/>
            <w:vAlign w:val="center"/>
          </w:tcPr>
          <w:p w14:paraId="5AD692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9.2</w:t>
            </w:r>
          </w:p>
        </w:tc>
        <w:tc>
          <w:tcPr>
            <w:tcW w:w="1240" w:type="dxa"/>
            <w:tcBorders>
              <w:top w:val="nil"/>
              <w:left w:val="nil"/>
              <w:bottom w:val="nil"/>
              <w:right w:val="nil"/>
            </w:tcBorders>
            <w:shd w:val="clear" w:color="auto" w:fill="FFFFFF"/>
            <w:vAlign w:val="center"/>
          </w:tcPr>
          <w:p w14:paraId="7CE97C3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1EAA7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58B6A9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P0</w:t>
            </w:r>
            <w:r>
              <w:rPr>
                <w:rFonts w:hint="eastAsia" w:ascii="Times New Roman" w:hAnsi="Times New Roman" w:eastAsia="宋体" w:cs="Times New Roman"/>
                <w:b w:val="0"/>
                <w:color w:val="000000"/>
                <w:kern w:val="0"/>
                <w:sz w:val="24"/>
                <w:szCs w:val="24"/>
                <w:lang w:val="en-US" w:eastAsia="zh-CN" w:bidi="ar"/>
              </w:rPr>
              <w:t>7</w:t>
            </w:r>
          </w:p>
        </w:tc>
        <w:tc>
          <w:tcPr>
            <w:tcW w:w="3379" w:type="dxa"/>
            <w:tcBorders>
              <w:top w:val="nil"/>
              <w:left w:val="nil"/>
              <w:bottom w:val="nil"/>
              <w:right w:val="nil"/>
            </w:tcBorders>
            <w:shd w:val="clear" w:color="auto" w:fill="FFFFFF"/>
            <w:vAlign w:val="center"/>
          </w:tcPr>
          <w:p w14:paraId="11A9F35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中央大道主校道横纵轴</w:t>
            </w:r>
            <w:r>
              <w:rPr>
                <w:rFonts w:hint="eastAsia" w:ascii="Times New Roman" w:hAnsi="Times New Roman" w:eastAsia="宋体" w:cs="Times New Roman"/>
                <w:b w:val="0"/>
                <w:color w:val="000000"/>
                <w:kern w:val="0"/>
                <w:sz w:val="24"/>
                <w:szCs w:val="24"/>
                <w:lang w:val="en-US" w:eastAsia="zh-CN" w:bidi="ar"/>
              </w:rPr>
              <w:t>连接处</w:t>
            </w:r>
          </w:p>
        </w:tc>
        <w:tc>
          <w:tcPr>
            <w:tcW w:w="1033" w:type="dxa"/>
            <w:tcBorders>
              <w:top w:val="nil"/>
              <w:left w:val="nil"/>
              <w:bottom w:val="nil"/>
              <w:right w:val="nil"/>
            </w:tcBorders>
            <w:shd w:val="clear" w:color="auto" w:fill="FFFFFF"/>
            <w:vAlign w:val="center"/>
          </w:tcPr>
          <w:p w14:paraId="60B0F54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25</w:t>
            </w:r>
          </w:p>
        </w:tc>
        <w:tc>
          <w:tcPr>
            <w:tcW w:w="1317" w:type="dxa"/>
            <w:tcBorders>
              <w:top w:val="nil"/>
              <w:left w:val="nil"/>
              <w:bottom w:val="nil"/>
              <w:right w:val="nil"/>
            </w:tcBorders>
            <w:shd w:val="clear" w:color="auto" w:fill="FFFFFF"/>
            <w:vAlign w:val="center"/>
          </w:tcPr>
          <w:p w14:paraId="53C969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8.5</w:t>
            </w:r>
          </w:p>
        </w:tc>
        <w:tc>
          <w:tcPr>
            <w:tcW w:w="1240" w:type="dxa"/>
            <w:tcBorders>
              <w:top w:val="nil"/>
              <w:left w:val="nil"/>
              <w:bottom w:val="nil"/>
              <w:right w:val="nil"/>
            </w:tcBorders>
            <w:shd w:val="clear" w:color="auto" w:fill="FFFFFF"/>
            <w:vAlign w:val="center"/>
          </w:tcPr>
          <w:p w14:paraId="0E99FC9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高</w:t>
            </w:r>
          </w:p>
        </w:tc>
      </w:tr>
      <w:tr w14:paraId="76C9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nil"/>
              <w:right w:val="nil"/>
            </w:tcBorders>
            <w:shd w:val="clear" w:color="auto" w:fill="FFFFFF"/>
            <w:vAlign w:val="center"/>
          </w:tcPr>
          <w:p w14:paraId="4D0DC1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P</w:t>
            </w:r>
            <w:r>
              <w:rPr>
                <w:rFonts w:hint="eastAsia" w:ascii="Times New Roman" w:hAnsi="Times New Roman" w:eastAsia="宋体" w:cs="Times New Roman"/>
                <w:b w:val="0"/>
                <w:color w:val="000000"/>
                <w:kern w:val="0"/>
                <w:sz w:val="24"/>
                <w:szCs w:val="24"/>
                <w:lang w:val="en-US" w:eastAsia="zh-CN" w:bidi="ar"/>
              </w:rPr>
              <w:t>12</w:t>
            </w:r>
          </w:p>
        </w:tc>
        <w:tc>
          <w:tcPr>
            <w:tcW w:w="3379" w:type="dxa"/>
            <w:tcBorders>
              <w:top w:val="nil"/>
              <w:left w:val="nil"/>
              <w:bottom w:val="nil"/>
              <w:right w:val="nil"/>
            </w:tcBorders>
            <w:shd w:val="clear" w:color="auto" w:fill="FFFFFF"/>
            <w:vAlign w:val="center"/>
          </w:tcPr>
          <w:p w14:paraId="239B080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图书馆南门</w:t>
            </w:r>
          </w:p>
        </w:tc>
        <w:tc>
          <w:tcPr>
            <w:tcW w:w="1033" w:type="dxa"/>
            <w:tcBorders>
              <w:top w:val="nil"/>
              <w:left w:val="nil"/>
              <w:bottom w:val="nil"/>
              <w:right w:val="nil"/>
            </w:tcBorders>
            <w:shd w:val="clear" w:color="auto" w:fill="FFFFFF"/>
            <w:vAlign w:val="center"/>
          </w:tcPr>
          <w:p w14:paraId="6838957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21</w:t>
            </w:r>
          </w:p>
        </w:tc>
        <w:tc>
          <w:tcPr>
            <w:tcW w:w="1317" w:type="dxa"/>
            <w:tcBorders>
              <w:top w:val="nil"/>
              <w:left w:val="nil"/>
              <w:bottom w:val="nil"/>
              <w:right w:val="nil"/>
            </w:tcBorders>
            <w:shd w:val="clear" w:color="auto" w:fill="FFFFFF"/>
            <w:vAlign w:val="center"/>
          </w:tcPr>
          <w:p w14:paraId="359170C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7.1</w:t>
            </w:r>
          </w:p>
        </w:tc>
        <w:tc>
          <w:tcPr>
            <w:tcW w:w="1240" w:type="dxa"/>
            <w:tcBorders>
              <w:top w:val="nil"/>
              <w:left w:val="nil"/>
              <w:bottom w:val="nil"/>
              <w:right w:val="nil"/>
            </w:tcBorders>
            <w:shd w:val="clear" w:color="auto" w:fill="FFFFFF"/>
            <w:vAlign w:val="center"/>
          </w:tcPr>
          <w:p w14:paraId="17A217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w:t>
            </w:r>
          </w:p>
        </w:tc>
      </w:tr>
      <w:tr w14:paraId="278FA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6" w:type="dxa"/>
            <w:tcBorders>
              <w:top w:val="nil"/>
              <w:left w:val="nil"/>
              <w:bottom w:val="single" w:color="000000" w:sz="4" w:space="0"/>
              <w:right w:val="nil"/>
            </w:tcBorders>
            <w:shd w:val="clear" w:color="auto" w:fill="FFFFFF"/>
            <w:vAlign w:val="center"/>
          </w:tcPr>
          <w:p w14:paraId="76BC89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其他</w:t>
            </w:r>
          </w:p>
        </w:tc>
        <w:tc>
          <w:tcPr>
            <w:tcW w:w="3379" w:type="dxa"/>
            <w:tcBorders>
              <w:top w:val="nil"/>
              <w:left w:val="nil"/>
              <w:bottom w:val="single" w:color="000000" w:sz="4" w:space="0"/>
              <w:right w:val="nil"/>
            </w:tcBorders>
            <w:shd w:val="clear" w:color="auto" w:fill="FFFFFF"/>
            <w:vAlign w:val="center"/>
          </w:tcPr>
          <w:p w14:paraId="0866149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7个次要点位</w:t>
            </w:r>
          </w:p>
        </w:tc>
        <w:tc>
          <w:tcPr>
            <w:tcW w:w="1033" w:type="dxa"/>
            <w:tcBorders>
              <w:top w:val="nil"/>
              <w:left w:val="nil"/>
              <w:bottom w:val="single" w:color="000000" w:sz="4" w:space="0"/>
              <w:right w:val="nil"/>
            </w:tcBorders>
            <w:shd w:val="clear" w:color="auto" w:fill="FFFFFF"/>
            <w:vAlign w:val="center"/>
          </w:tcPr>
          <w:p w14:paraId="78B577B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142</w:t>
            </w:r>
          </w:p>
        </w:tc>
        <w:tc>
          <w:tcPr>
            <w:tcW w:w="1317" w:type="dxa"/>
            <w:tcBorders>
              <w:top w:val="nil"/>
              <w:left w:val="nil"/>
              <w:bottom w:val="single" w:color="000000" w:sz="4" w:space="0"/>
              <w:right w:val="nil"/>
            </w:tcBorders>
            <w:shd w:val="clear" w:color="auto" w:fill="FFFFFF"/>
            <w:vAlign w:val="center"/>
          </w:tcPr>
          <w:p w14:paraId="4315F6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48.3</w:t>
            </w:r>
          </w:p>
        </w:tc>
        <w:tc>
          <w:tcPr>
            <w:tcW w:w="1240" w:type="dxa"/>
            <w:tcBorders>
              <w:top w:val="nil"/>
              <w:left w:val="nil"/>
              <w:bottom w:val="single" w:color="000000" w:sz="4" w:space="0"/>
              <w:right w:val="nil"/>
            </w:tcBorders>
            <w:shd w:val="clear" w:color="auto" w:fill="FFFFFF"/>
            <w:vAlign w:val="center"/>
          </w:tcPr>
          <w:p w14:paraId="74D8C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中低</w:t>
            </w:r>
          </w:p>
        </w:tc>
      </w:tr>
    </w:tbl>
    <w:p w14:paraId="63211B0C">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p>
    <w:p w14:paraId="45D23EB5">
      <w:pPr>
        <w:pStyle w:val="4"/>
        <w:keepNext w:val="0"/>
        <w:keepLines w:val="0"/>
        <w:pageBreakBefore w:val="0"/>
        <w:widowControl/>
        <w:kinsoku/>
        <w:wordWrap/>
        <w:overflowPunct/>
        <w:topLinePunct w:val="0"/>
        <w:autoSpaceDE/>
        <w:autoSpaceDN/>
        <w:bidi w:val="0"/>
        <w:adjustRightInd/>
        <w:snapToGrid/>
        <w:spacing w:after="0"/>
        <w:ind w:firstLine="482"/>
        <w:jc w:val="center"/>
        <w:textAlignment w:val="auto"/>
        <w:rPr>
          <w:rFonts w:hint="eastAsia" w:ascii="Times New Roman" w:hAnsi="Times New Roman" w:cs="Times New Roman"/>
          <w:lang w:val="en-US" w:eastAsia="zh-CN"/>
        </w:rPr>
      </w:pPr>
      <w:r>
        <w:rPr>
          <w:rFonts w:hint="default" w:ascii="Times New Roman" w:hAnsi="Times New Roman" w:eastAsia="宋体" w:cs="Times New Roman"/>
          <w:lang w:val="en-US" w:eastAsia="zh-CN"/>
        </w:rPr>
        <w:drawing>
          <wp:anchor distT="0" distB="0" distL="114300" distR="114300" simplePos="0" relativeHeight="251663360" behindDoc="0" locked="0" layoutInCell="1" allowOverlap="1">
            <wp:simplePos x="0" y="0"/>
            <wp:positionH relativeFrom="column">
              <wp:posOffset>784860</wp:posOffset>
            </wp:positionH>
            <wp:positionV relativeFrom="paragraph">
              <wp:posOffset>116840</wp:posOffset>
            </wp:positionV>
            <wp:extent cx="3886200" cy="3888740"/>
            <wp:effectExtent l="0" t="0" r="0" b="12700"/>
            <wp:wrapTopAndBottom/>
            <wp:docPr id="15" name="图片 15" descr="157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7816"/>
                    <pic:cNvPicPr>
                      <a:picLocks noChangeAspect="1"/>
                    </pic:cNvPicPr>
                  </pic:nvPicPr>
                  <pic:blipFill>
                    <a:blip r:embed="rId10"/>
                    <a:srcRect l="13239" t="740" r="45650" b="44730"/>
                    <a:stretch>
                      <a:fillRect/>
                    </a:stretch>
                  </pic:blipFill>
                  <pic:spPr>
                    <a:xfrm>
                      <a:off x="0" y="0"/>
                      <a:ext cx="3886200" cy="3888740"/>
                    </a:xfrm>
                    <a:prstGeom prst="rect">
                      <a:avLst/>
                    </a:prstGeom>
                  </pic:spPr>
                </pic:pic>
              </a:graphicData>
            </a:graphic>
          </wp:anchor>
        </w:drawing>
      </w:r>
      <w:r>
        <w:rPr>
          <w:rFonts w:hint="eastAsia" w:ascii="Times New Roman" w:hAnsi="Times New Roman" w:cs="Times New Roman"/>
          <w:lang w:val="en-US" w:eastAsia="zh-CN"/>
        </w:rPr>
        <w:t xml:space="preserve">图3 </w:t>
      </w:r>
      <w:r>
        <w:rPr>
          <w:rFonts w:hint="default" w:ascii="Times New Roman" w:hAnsi="Times New Roman" w:cs="Times New Roman"/>
          <w:lang w:val="en-US" w:eastAsia="zh-CN"/>
        </w:rPr>
        <w:t>校园共享道路</w:t>
      </w:r>
      <w:r>
        <w:rPr>
          <w:rFonts w:hint="eastAsia" w:ascii="Times New Roman" w:hAnsi="Times New Roman" w:cs="Times New Roman"/>
          <w:lang w:val="en-US" w:eastAsia="zh-CN"/>
        </w:rPr>
        <w:t>冲突事件较高的</w:t>
      </w:r>
      <w:r>
        <w:rPr>
          <w:rFonts w:hint="default" w:ascii="Times New Roman" w:hAnsi="Times New Roman" w:cs="Times New Roman"/>
          <w:lang w:val="en-US" w:eastAsia="zh-CN"/>
        </w:rPr>
        <w:t>5</w:t>
      </w:r>
      <w:r>
        <w:rPr>
          <w:rFonts w:hint="eastAsia" w:ascii="Times New Roman" w:hAnsi="Times New Roman" w:cs="Times New Roman"/>
          <w:lang w:val="en-US" w:eastAsia="zh-CN"/>
        </w:rPr>
        <w:t>个热点区域</w:t>
      </w:r>
    </w:p>
    <w:p w14:paraId="24B878AF">
      <w:pPr>
        <w:pStyle w:val="4"/>
        <w:ind w:left="0" w:leftChars="0" w:firstLine="480" w:firstLineChars="200"/>
        <w:jc w:val="center"/>
        <w:rPr>
          <w:rFonts w:hint="eastAsia" w:ascii="Times New Roman" w:hAnsi="Times New Roman" w:cs="Times New Roman"/>
          <w:lang w:val="en-US" w:eastAsia="zh-CN"/>
        </w:rPr>
      </w:pPr>
      <w:r>
        <w:rPr>
          <w:sz w:val="24"/>
        </w:rPr>
        <mc:AlternateContent>
          <mc:Choice Requires="wpg">
            <w:drawing>
              <wp:anchor distT="0" distB="0" distL="114300" distR="114300" simplePos="0" relativeHeight="251666432" behindDoc="0" locked="0" layoutInCell="1" allowOverlap="1">
                <wp:simplePos x="0" y="0"/>
                <wp:positionH relativeFrom="column">
                  <wp:posOffset>516255</wp:posOffset>
                </wp:positionH>
                <wp:positionV relativeFrom="paragraph">
                  <wp:posOffset>1143000</wp:posOffset>
                </wp:positionV>
                <wp:extent cx="4766310" cy="301625"/>
                <wp:effectExtent l="0" t="0" r="0" b="0"/>
                <wp:wrapNone/>
                <wp:docPr id="20" name="组合 20"/>
                <wp:cNvGraphicFramePr/>
                <a:graphic xmlns:a="http://schemas.openxmlformats.org/drawingml/2006/main">
                  <a:graphicData uri="http://schemas.microsoft.com/office/word/2010/wordprocessingGroup">
                    <wpg:wgp>
                      <wpg:cNvGrpSpPr/>
                      <wpg:grpSpPr>
                        <a:xfrm>
                          <a:off x="0" y="0"/>
                          <a:ext cx="4766310" cy="301625"/>
                          <a:chOff x="8048" y="260401"/>
                          <a:chExt cx="7506" cy="475"/>
                        </a:xfrm>
                      </wpg:grpSpPr>
                      <wps:wsp>
                        <wps:cNvPr id="11" name="文本框 11"/>
                        <wps:cNvSpPr txBox="1"/>
                        <wps:spPr>
                          <a:xfrm>
                            <a:off x="8048" y="260414"/>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2" name="文本框 12"/>
                        <wps:cNvSpPr txBox="1"/>
                        <wps:spPr>
                          <a:xfrm>
                            <a:off x="9686"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 name="文本框 16"/>
                        <wps:cNvSpPr txBox="1"/>
                        <wps:spPr>
                          <a:xfrm>
                            <a:off x="11337"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7" name="文本框 17"/>
                        <wps:cNvSpPr txBox="1"/>
                        <wps:spPr>
                          <a:xfrm>
                            <a:off x="1300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 name="文本框 18"/>
                        <wps:cNvSpPr txBox="1"/>
                        <wps:spPr>
                          <a:xfrm>
                            <a:off x="14640" y="260401"/>
                            <a:ext cx="914" cy="4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0.65pt;margin-top:90pt;height:23.75pt;width:375.3pt;z-index:251666432;mso-width-relative:page;mso-height-relative:page;" coordorigin="8048,260401" coordsize="7506,475" o:gfxdata="UEsDBAoAAAAAAIdO4kAAAAAAAAAAAAAAAAAEAAAAZHJzL1BLAwQUAAAACACHTuJA3PrgQNoAAAAK AQAADwAAAGRycy9kb3ducmV2LnhtbE2PwU7DMAyG70i8Q2QkbixJq0EpTSc0AacJiQ0JcfNar63W JFWTtdvbY05wtP3p9/cXq7PtxURj6LwzoBcKBLnK151rDHzuXu8yECGiq7H3jgxcKMCqvL4qMK/9 7D5o2sZGcIgLORpoYxxyKUPVksWw8AM5vh38aDHyODayHnHmcNvLRKl7abFz/KHFgdYtVcftyRp4 m3F+TvXLtDke1pfv3fL9a6PJmNsbrZ5ARDrHPxh+9VkdSnba+5Org+gNZDplkveZ4k4MZKl+BLE3 kCQPS5BlIf9XKH8AUEsDBBQAAAAIAIdO4kDqNyduJQMAAMsPAAAOAAAAZHJzL2Uyb0RvYy54bWzt V0Fv0zAUviPxHyzfWZI2Tbto6VQYm5AmNmkgzq7jNJES29ju0nFGwJETJy7c+Qf8Hsbf4NlJs9Kt YhSJA+olsd+z3/P7/L1n++BwUZXokildCJ7gYM/HiHEq0oLPEvzyxfGjEUbaEJ6SUnCW4Cum8eH4 4YODWsasJ3JRpkwhMMJ1XMsE58bI2PM0zVlF9J6QjIMyE6oiBrpq5qWK1GC9Kr2e70deLVQqlaBM a5AeNUrcWlT3MSiyrKDsSNB5xbhprCpWEgMh6byQGo/darOMUXOWZZoZVCYYIjXuC06gPbVfb3xA 4pkiMi9ouwRynyWsxVSRgoPTztQRMQTNVXHLVFVQJbTIzB4VldcE4hCBKAJ/DZsTJebSxTKL65ns QIeNWkN9a7P0+eW5QkWa4B5AwkkFO/7j29vvHz8gEAA6tZzFMOhEyQt5rlrBrOnZgBeZquwfQkEL h+tVhytbGERBGA6jqB+AfQq6vh9EvUEDPM1hd+y0kR8C7UDbi/zQD5bap62B4cCPmtnh0E31lo49 u75uObUETuoboPTfAXWRE8kc/tpi0AIVBEugrj+9v/789frLOwQyB40bZ4FCZvFYQGCdXIPwDrx+ CTwIm8CXuO2DwGEWRj2r6aImsVTanDBRIdtIsAKiO/6Ry1NtmqHLIdYrF8dFWYKcxCVHdYKj/sB3 EzoNGC85+LAYNou1LbOYLtrIpiK9gsCUaJJIS3pcgPNTos05UZA1sMFQV8wZfLJSgBPRtjDKhXpz l9yOhz0CLUY1ZGGC9es5UQyj8hmH3QMEQjBrXCccDC1J1apmuqrh8+qJgESHDYLVuaYdb8plM1Oi egXlZ2K9gopwCr4TbJbNJ6apDVC+KJtM3CBIVEnMKb+Q1Jpu4JzMjcgKh7SFqcGmRQ8YaPPmX1Cx dwcVHVWse6Dsn1BxPxpBkq3l4I6KOyqunUobqiJwpzk+VqpitGVVDIJ+f7jj4q4s/u6GtIGLwJ1b XBxuy8W+78NRsauLuyPaPTs23tY3cBHutbe4ONqWi2Fkr0M7Lv53XHTvGHjjuUt++x61j8jVvrte 3rzBxz8BUEsDBAoAAAAAAIdO4kAAAAAAAAAAAAAAAAAGAAAAX3JlbHMvUEsDBBQAAAAIAIdO4kCK FGY80QAAAJQBAAALAAAAX3JlbHMvLnJlbHOlkMFqwzAMhu+DvYPRfXGawxijTi+j0GvpHsDYimMa W0Yy2fr28w6DZfS2o36h7xP//vCZFrUiS6RsYNf1oDA78jEHA++X49MLKKk2e7tQRgM3FDiMjw/7 My62tiOZYxHVKFkMzLWWV63FzZisdFQwt81EnGxtIwddrLvagHro+2fNvxkwbpjq5A3wyQ+gLrfS zH/YKTomoal2jpKmaYruHlUHtmWO7sg24Ru5RrMcsBrwLBoHalnXfgR9X7/7p97TRz7jutV+h4zr j1dvuhy/AFBLAwQUAAAACACHTuJAfublIPcAAADhAQAAEwAAAFtDb250ZW50X1R5cGVzXS54bWyV kUFOwzAQRfdI3MHyFiVOu0AIJemCtEtAqBxgZE8Si2RseUxob4+TthtEkVjaM/+/J7vcHMZBTBjY OqrkKi+kQNLOWOoq+b7fZQ9ScAQyMDjCSh6R5aa+vSn3R48sUpq4kn2M/lEp1j2OwLnzSGnSujBC TMfQKQ/6AzpU66K4V9pRRIpZnDtkXTbYwucQxfaQrk8mAQeW4um0OLMqCd4PVkNMpmoi84OSnQl5 Si473FvPd0lDql8J8+Q64Jx7SU8TrEHxCiE+w5g0lAmsjPuigFP+d8lsOXLm2tZqzJvATYq94XSx utaOa9c4/d/y7ZK6dKvlg+pvUEsBAhQAFAAAAAgAh07iQH7m5SD3AAAA4QEAABMAAAAAAAAAAQAg AAAAmAUAAFtDb250ZW50X1R5cGVzXS54bWxQSwECFAAKAAAAAACHTuJAAAAAAAAAAAAAAAAABgAA AAAAAAAAABAAAAB6BAAAX3JlbHMvUEsBAhQAFAAAAAgAh07iQIoUZjzRAAAAlAEAAAsAAAAAAAAA AQAgAAAAngQAAF9yZWxzLy5yZWxzUEsBAhQACgAAAAAAh07iQAAAAAAAAAAAAAAAAAQAAAAAAAAA AAAQAAAAAAAAAGRycy9QSwECFAAUAAAACACHTuJA3PrgQNoAAAAKAQAADwAAAAAAAAABACAAAAAi AAAAZHJzL2Rvd25yZXYueG1sUEsBAhQAFAAAAAgAh07iQOo3J24lAwAAyw8AAA4AAAAAAAAAAQAg AAAAKQEAAGRycy9lMm9Eb2MueG1sUEsFBgAAAAAGAAYAWQEAAMAGAAAAAA== ">
                <o:lock v:ext="edit" aspectratio="f"/>
                <v:shape id="_x0000_s1026" o:spid="_x0000_s1026" o:spt="202" type="#_x0000_t202" style="position:absolute;left:8048;top:260414;height:462;width:914;" filled="f" stroked="f" coordsize="21600,21600" o:gfxdata="UEsDBAoAAAAAAIdO4kAAAAAAAAAAAAAAAAAEAAAAZHJzL1BLAwQUAAAACACHTuJApGjsG70AAADb AAAADwAAAGRycy9kb3ducmV2LnhtbEVPTWvCQBC9F/wPyxR6q5sILSF1E0pAWoo9GL30NmbHJJid jdltov31XUHwNo/3Ocv8bDox0uBaywrieQSCuLK65VrBbrt6TkA4j6yxs0wKLuQgz2YPS0y1nXhD Y+lrEULYpaig8b5PpXRVQwbd3PbEgTvYwaAPcKilHnAK4aaTiyh6lQZbDg0N9lQ0VB3LX6Pgq1h9 42a/MMlfV3ysD+/9affzotTTYxy9gfB09nfxzf2pw/wYrr+EA2T2D1BLAwQUAAAACACHTuJAMy8F njsAAAA5AAAAEAAAAGRycy9zaGFwZXhtbC54bWyzsa/IzVEoSy0qzszPs1Uy1DNQUkjNS85PycxL t1UKDXHTtVBSKC5JzEtJzMnPS7VVqkwtVrK34+UCAFBLAwQKAAAAAACHTuJAAAAAAAAAAAAAAAAA BgAAAF9yZWxzL1BLAwQUAAAACACHTuJA1VwmKMwAAACPAQAACwAAAF9yZWxzLy5yZWxzpZCxagMx DIb3QN/BaO/5kqGUEF+2QtaQQldh6+5MzpaxzDV5+7iUQi9ky6BBv9D3Ce32lzCpmbJ4jgbWTQuK omXn42Dg8/Tx+g5KCkaHE0cycCWBffey2h1pwlKXZPRJVKVEMTCWkrZaix0poDScKNZJzzlgqW0e dEJ7xoH0pm3fdP7PgG7BVAdnIB/cBtTpmqr5jh28zSzcl8Zy0Nz33j6iahkx0VeYKgbzQMWAy/Kb 1tOaWqAfm9dPmh1/xyPNS/FPmGn+8+rFG7sbUEsDBBQAAAAIAIdO4kBa4xFm9wAAAOIBAAATAAAA W0NvbnRlbnRfVHlwZXNdLnhtbJWRTU/EIBCG7yb+BzJX01I9GGNK92D1qEbXHzCBaUu2BcJg3f33 0v24GNfEI8y8z/sE6tV2GsVMka13Cq7LCgQ57Y11vYKP9VNxB4ITOoOjd6RgRwyr5vKiXu8Cschp xwqGlMK9lKwHmpBLH8jlSefjhCkfYy8D6g32JG+q6lZq7xK5VKSFAU3dUoefYxKP23x9MIk0MoiH w+LSpQBDGK3GlE3l7MyPluLYUObkfocHG/gqa4D8tWGZnC845l7y00RrSLxiTM84ZQ1pIkvjv1yk ufwbslhOXPius5rKNnKbY280n6zO0XnAQBn9X/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kaOwbvQAA ANsAAAAPAAAAAAAAAAEAIAAAACIAAABkcnMvZG93bnJldi54bWxQSwECFAAUAAAACACHTuJAMy8F njsAAAA5AAAAEAAAAAAAAAABACAAAAAMAQAAZHJzL3NoYXBleG1sLnhtbFBLBQYAAAAABgAGAFsB AAC2AwAAAAA= ">
                  <v:fill on="f" focussize="0,0"/>
                  <v:stroke on="f" weight="0.5pt"/>
                  <v:imagedata o:title=""/>
                  <o:lock v:ext="edit" aspectratio="f"/>
                  <v:textbox>
                    <w:txbxContent>
                      <w:p w14:paraId="3462676A">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w:t>
                        </w:r>
                        <w:r>
                          <w:rPr>
                            <w:rFonts w:hint="default" w:ascii="Times New Roman" w:hAnsi="Times New Roman" w:cs="Times New Roman"/>
                            <w:b/>
                            <w:bCs/>
                            <w:color w:val="FFFFFF" w:themeColor="background1"/>
                            <w:lang w:val="en-US" w:eastAsia="zh-CN"/>
                            <w14:textFill>
                              <w14:solidFill>
                                <w14:schemeClr w14:val="bg1"/>
                              </w14:solidFill>
                            </w14:textFill>
                          </w:rPr>
                          <w:t>a:P02</w:t>
                        </w:r>
                      </w:p>
                    </w:txbxContent>
                  </v:textbox>
                </v:shape>
                <v:shape id="_x0000_s1026" o:spid="_x0000_s1026" o:spt="202" type="#_x0000_t202" style="position:absolute;left:9686;top:260401;height:462;width:914;" filled="f" stroked="f" coordsize="21600,21600" o:gfxdata="UEsDBAoAAAAAAIdO4kAAAAAAAAAAAAAAAAAEAAAAZHJzL1BLAwQUAAAACACHTuJAVLpybLoAAADb AAAADwAAAGRycy9kb3ducmV2LnhtbEVPy6rCMBDdC/5DGMGdphYUqUaRgijiXeh1425sxrbYTGoT X/frjSDc3RzOc6bzp6nEnRpXWlYw6EcgiDOrS84VHH6XvTEI55E1VpZJwYsczGft1hQTbR+8o/ve 5yKEsEtQQeF9nUjpsoIMur6tiQN3to1BH2CTS93gI4SbSsZRNJIGSw4NBdaUFpRd9jejYJMuf3B3 is34r0pX2/Oivh6OQ6W6nUE0AeHp6f/FX/dah/kxfH4JB8jZG1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UunJsugAAANsA AAAPAAAAAAAAAAEAIAAAACIAAABkcnMvZG93bnJldi54bWxQSwECFAAUAAAACACHTuJAMy8FnjsA AAA5AAAAEAAAAAAAAAABACAAAAAJAQAAZHJzL3NoYXBleG1sLnhtbFBLBQYAAAAABgAGAFsBAACz AwAAAAA= ">
                  <v:fill on="f" focussize="0,0"/>
                  <v:stroke on="f" weight="0.5pt"/>
                  <v:imagedata o:title=""/>
                  <o:lock v:ext="edit" aspectratio="f"/>
                  <v:textbox>
                    <w:txbxContent>
                      <w:p w14:paraId="5499955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4b</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3</w:t>
                        </w:r>
                      </w:p>
                    </w:txbxContent>
                  </v:textbox>
                </v:shape>
                <v:shape id="_x0000_s1026" o:spid="_x0000_s1026" o:spt="202" type="#_x0000_t202" style="position:absolute;left:11337;top:260401;height:462;width:914;" filled="f" stroked="f" coordsize="21600,21600" o:gfxdata="UEsDBAoAAAAAAIdO4kAAAAAAAAAAAAAAAAAEAAAAZHJzL1BLAwQUAAAACACHTuJAK4F0b7sAAADb AAAADwAAAGRycy9kb3ducmV2LnhtbEVPS4vCMBC+L/gfwgje1lRBkWoqUhAXcQ8+Lt7GZvrAZlKb rK9fvxEEb/PxPWc2v5taXKl1lWUFg34EgjizuuJCwWG//J6AcB5ZY22ZFDzIwTzpfM0w1vbGW7ru fCFCCLsYFZTeN7GULivJoOvbhjhwuW0N+gDbQuoWbyHc1HIYRWNpsOLQUGJDaUnZefdnFKzT5S9u T0MzedbpapMvmsvhOFKq1x1EUxCe7v4jfrt/dJg/htcv4QCZ/AN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K4F0b7sAAADb AAAADwAAAAAAAAABACAAAAAiAAAAZHJzL2Rvd25yZXYueG1sUEsBAhQAFAAAAAgAh07iQDMvBZ47 AAAAOQAAABAAAAAAAAAAAQAgAAAACgEAAGRycy9zaGFwZXhtbC54bWxQSwUGAAAAAAYABgBbAQAA tAMAAAAA ">
                  <v:fill on="f" focussize="0,0"/>
                  <v:stroke on="f" weight="0.5pt"/>
                  <v:imagedata o:title=""/>
                  <o:lock v:ext="edit" aspectratio="f"/>
                  <v:textbox>
                    <w:txbxContent>
                      <w:p w14:paraId="1102A702">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4c</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5</w:t>
                        </w:r>
                      </w:p>
                    </w:txbxContent>
                  </v:textbox>
                </v:shape>
                <v:shape id="_x0000_s1026" o:spid="_x0000_s1026" o:spt="202" type="#_x0000_t202" style="position:absolute;left:13000;top:260401;height:462;width:914;" filled="f" stroked="f" coordsize="21600,21600" o:gfxdata="UEsDBAoAAAAAAIdO4kAAAAAAAAAAAAAAAAAEAAAAZHJzL1BLAwQUAAAACACHTuJARM3R9LwAAADb AAAADwAAAGRycy9kb3ducmV2LnhtbEVPTWvCQBC9C/6HZYTedBOhrUTXIAFRSnswevE2ZsckmJ2N 2VXT/vpuoeBtHu9zFmlvGnGnztWWFcSTCARxYXXNpYLDfj2egXAeWWNjmRR8k4N0ORwsMNH2wTu6 574UIYRdggoq79tESldUZNBNbEscuLPtDPoAu1LqDh8h3DRyGkVv0mDNoaHClrKKikt+Mwo+svUX 7k5TM/tpss3nedVeD8dXpV5GcTQH4an3T/G/e6vD/Hf4+yUcIJe/UEsDBBQAAAAIAIdO4kAzLwWe OwAAADkAAAAQAAAAZHJzL3NoYXBleG1sLnhtbLOxr8jNUShLLSrOzM+zVTLUM1BSSM1Lzk/JzEu3 VQoNcdO1UFIoLknMS0nMyc9LtVWqTC1Wsrfj5QIAUEsDBAoAAAAAAIdO4kAAAAAAAAAAAAAAAAAG AAAAX3JlbHMvUEsDBBQAAAAIAIdO4kDVXCYozAAAAI8BAAALAAAAX3JlbHMvLnJlbHOlkLFqAzEM hvdA38Fo7/mSoZQQX7ZC1pBCV2Hr7kzOlrHMNXn7uJRCL2TLoEG/0PcJ7faXMKmZsniOBtZNC4qi ZefjYODz9PH6DkoKRocTRzJwJYF997LaHWnCUpdk9ElUpUQxMJaStlqLHSmgNJwo1knPOWCpbR50 QnvGgfSmbd90/s+AbsFUB2cgH9wG1OmaqvmOHbzNLNyXxnLQ3PfePqJqGTHRV5gqBvNAxYDL8pvW 05paoB+b10+aHX/HI81L8U+Yaf7z6sUbuxtQSwMEFAAAAAgAh07iQFrjEWb3AAAA4gEAABMAAABb Q29udGVudF9UeXBlc10ueG1slZFNT8QgEIbvJv4HMlfTUj0YY0r3YPWoRtcfMIFpS7YFwmDd/ffS /bgY18QjzLzP+wTq1XYaxUyRrXcKrssKBDntjXW9go/1U3EHghM6g6N3pGBHDKvm8qJe7wKxyGnH CoaUwr2UrAeakEsfyOVJ5+OEKR9jLwPqDfYkb6rqVmrvErlUpIUBTd1Sh59jEo/bfH0wiTQyiIfD 4tKlAEMYrcaUTeXszI+W4thQ5uR+hwcb+CprgPy1YZmcLzjmXvLTRGtIvGJMzzhlDWkiS+O/XKS5 /BuyWE5c+K6zmso2cptjbzSfrM7RecBAGf1f/PuSO8Hl/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ETN0fS8AAAA 2wAAAA8AAAAAAAAAAQAgAAAAIgAAAGRycy9kb3ducmV2LnhtbFBLAQIUABQAAAAIAIdO4kAzLwWe OwAAADkAAAAQAAAAAAAAAAEAIAAAAAsBAABkcnMvc2hhcGV4bWwueG1sUEsFBgAAAAAGAAYAWwEA ALUDAAAAAA== ">
                  <v:fill on="f" focussize="0,0"/>
                  <v:stroke on="f" weight="0.5pt"/>
                  <v:imagedata o:title=""/>
                  <o:lock v:ext="edit" aspectratio="f"/>
                  <v:textbox>
                    <w:txbxContent>
                      <w:p w14:paraId="7FC59E97">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4d</w:t>
                        </w:r>
                        <w:r>
                          <w:rPr>
                            <w:rFonts w:hint="default" w:ascii="Times New Roman" w:hAnsi="Times New Roman" w:cs="Times New Roman"/>
                            <w:b/>
                            <w:bCs/>
                            <w:color w:val="FFFFFF" w:themeColor="background1"/>
                            <w:lang w:val="en-US" w:eastAsia="zh-CN"/>
                            <w14:textFill>
                              <w14:solidFill>
                                <w14:schemeClr w14:val="bg1"/>
                              </w14:solidFill>
                            </w14:textFill>
                          </w:rPr>
                          <w:t>:P0</w:t>
                        </w:r>
                        <w:r>
                          <w:rPr>
                            <w:rFonts w:hint="eastAsia" w:ascii="Times New Roman" w:hAnsi="Times New Roman" w:cs="Times New Roman"/>
                            <w:b/>
                            <w:bCs/>
                            <w:color w:val="FFFFFF" w:themeColor="background1"/>
                            <w:lang w:val="en-US" w:eastAsia="zh-CN"/>
                            <w14:textFill>
                              <w14:solidFill>
                                <w14:schemeClr w14:val="bg1"/>
                              </w14:solidFill>
                            </w14:textFill>
                          </w:rPr>
                          <w:t>7</w:t>
                        </w:r>
                      </w:p>
                    </w:txbxContent>
                  </v:textbox>
                </v:shape>
                <v:shape id="_x0000_s1026" o:spid="_x0000_s1026" o:spt="202" type="#_x0000_t202" style="position:absolute;left:14640;top:260401;height:462;width:914;" filled="f" stroked="f" coordsize="21600,21600" o:gfxdata="UEsDBAoAAAAAAIdO4kAAAAAAAAAAAAAAAAAEAAAAZHJzL1BLAwQUAAAACACHTuJANVJFhr8AAADb AAAADwAAAGRycy9kb3ducmV2LnhtbEWPS4vCQBCE74L/YWhhbzpRWJHoKBKQXWT34OPirc20STDT EzPjY/fX2wfBWzdVXfX1bPFwtbpRGyrPBoaDBBRx7m3FhYH9btWfgAoR2WLtmQz8UYDFvNuZYWr9 nTd028ZCSQiHFA2UMTap1iEvyWEY+IZYtJNvHUZZ20LbFu8S7mo9SpKxdlixNJTYUFZSft5enYF1 tvrFzXHkJv919vVzWjaX/eHTmI/eMJmCivSIb/Pr+tsKvsDKLzKAnj8B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DVSRYa/ AAAA2wAAAA8AAAAAAAAAAQAgAAAAIgAAAGRycy9kb3ducmV2LnhtbFBLAQIUABQAAAAIAIdO4kAz LwWeOwAAADkAAAAQAAAAAAAAAAEAIAAAAA4BAABkcnMvc2hhcGV4bWwueG1sUEsFBgAAAAAGAAYA WwEAALgDAAAAAA== ">
                  <v:fill on="f" focussize="0,0"/>
                  <v:stroke on="f" weight="0.5pt"/>
                  <v:imagedata o:title=""/>
                  <o:lock v:ext="edit" aspectratio="f"/>
                  <v:textbox>
                    <w:txbxContent>
                      <w:p w14:paraId="20F87DED">
                        <w:pPr>
                          <w:keepNext w:val="0"/>
                          <w:keepLines w:val="0"/>
                          <w:pageBreakBefore w:val="0"/>
                          <w:widowControl w:val="0"/>
                          <w:kinsoku/>
                          <w:wordWrap/>
                          <w:overflowPunct/>
                          <w:topLinePunct w:val="0"/>
                          <w:bidi w:val="0"/>
                          <w:adjustRightInd/>
                          <w:snapToGrid/>
                          <w:spacing w:line="240" w:lineRule="atLeast"/>
                          <w:jc w:val="left"/>
                          <w:textAlignment w:val="auto"/>
                          <w:rPr>
                            <w:rFonts w:hint="default" w:ascii="Times New Roman" w:hAnsi="Times New Roman" w:cs="Times New Roman" w:eastAsiaTheme="minorEastAsia"/>
                            <w:b/>
                            <w:bCs/>
                            <w:color w:val="FFFFFF" w:themeColor="background1"/>
                            <w:lang w:val="en-US" w:eastAsia="zh-CN"/>
                            <w14:textFill>
                              <w14:solidFill>
                                <w14:schemeClr w14:val="bg1"/>
                              </w14:solidFill>
                            </w14:textFill>
                          </w:rPr>
                        </w:pPr>
                        <w:r>
                          <w:rPr>
                            <w:rFonts w:hint="eastAsia" w:ascii="Times New Roman" w:hAnsi="Times New Roman" w:cs="Times New Roman"/>
                            <w:b/>
                            <w:bCs/>
                            <w:color w:val="FFFFFF" w:themeColor="background1"/>
                            <w:lang w:val="en-US" w:eastAsia="zh-CN"/>
                            <w14:textFill>
                              <w14:solidFill>
                                <w14:schemeClr w14:val="bg1"/>
                              </w14:solidFill>
                            </w14:textFill>
                          </w:rPr>
                          <w:t>4e</w:t>
                        </w:r>
                        <w:r>
                          <w:rPr>
                            <w:rFonts w:hint="default" w:ascii="Times New Roman" w:hAnsi="Times New Roman" w:cs="Times New Roman"/>
                            <w:b/>
                            <w:bCs/>
                            <w:color w:val="FFFFFF" w:themeColor="background1"/>
                            <w:lang w:val="en-US" w:eastAsia="zh-CN"/>
                            <w14:textFill>
                              <w14:solidFill>
                                <w14:schemeClr w14:val="bg1"/>
                              </w14:solidFill>
                            </w14:textFill>
                          </w:rPr>
                          <w:t>:P</w:t>
                        </w:r>
                        <w:r>
                          <w:rPr>
                            <w:rFonts w:hint="eastAsia" w:ascii="Times New Roman" w:hAnsi="Times New Roman" w:cs="Times New Roman"/>
                            <w:b/>
                            <w:bCs/>
                            <w:color w:val="FFFFFF" w:themeColor="background1"/>
                            <w:lang w:val="en-US" w:eastAsia="zh-CN"/>
                            <w14:textFill>
                              <w14:solidFill>
                                <w14:schemeClr w14:val="bg1"/>
                              </w14:solidFill>
                            </w14:textFill>
                          </w:rPr>
                          <w:t>12</w:t>
                        </w:r>
                      </w:p>
                    </w:txbxContent>
                  </v:textbox>
                </v:shape>
              </v:group>
            </w:pict>
          </mc:Fallback>
        </mc:AlternateContent>
      </w:r>
      <w:r>
        <w:rPr>
          <w:rFonts w:ascii="宋体" w:hAnsi="宋体" w:eastAsia="宋体" w:cs="宋体"/>
          <w:sz w:val="24"/>
          <w:szCs w:val="24"/>
        </w:rPr>
        <w:drawing>
          <wp:anchor distT="0" distB="0" distL="114300" distR="114300" simplePos="0" relativeHeight="251665408" behindDoc="0" locked="0" layoutInCell="1" allowOverlap="1">
            <wp:simplePos x="0" y="0"/>
            <wp:positionH relativeFrom="column">
              <wp:posOffset>39370</wp:posOffset>
            </wp:positionH>
            <wp:positionV relativeFrom="paragraph">
              <wp:posOffset>83185</wp:posOffset>
            </wp:positionV>
            <wp:extent cx="5243195" cy="1398905"/>
            <wp:effectExtent l="0" t="0" r="14605" b="3175"/>
            <wp:wrapTopAndBottom/>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1"/>
                    <a:stretch>
                      <a:fillRect/>
                    </a:stretch>
                  </pic:blipFill>
                  <pic:spPr>
                    <a:xfrm>
                      <a:off x="0" y="0"/>
                      <a:ext cx="5243195" cy="1398905"/>
                    </a:xfrm>
                    <a:prstGeom prst="rect">
                      <a:avLst/>
                    </a:prstGeom>
                    <a:noFill/>
                    <a:ln w="9525">
                      <a:noFill/>
                    </a:ln>
                  </pic:spPr>
                </pic:pic>
              </a:graphicData>
            </a:graphic>
          </wp:anchor>
        </w:drawing>
      </w:r>
      <w:r>
        <w:rPr>
          <w:rFonts w:hint="eastAsia" w:ascii="Times New Roman" w:hAnsi="Times New Roman" w:cs="Times New Roman"/>
          <w:lang w:val="en-US" w:eastAsia="zh-CN"/>
        </w:rPr>
        <w:t xml:space="preserve">图4 </w:t>
      </w:r>
      <w:r>
        <w:rPr>
          <w:rFonts w:hint="default" w:ascii="Times New Roman" w:hAnsi="Times New Roman" w:cs="Times New Roman"/>
          <w:lang w:val="en-US" w:eastAsia="zh-CN"/>
        </w:rPr>
        <w:t>校园共享道路5</w:t>
      </w:r>
      <w:r>
        <w:rPr>
          <w:rFonts w:hint="eastAsia" w:ascii="Times New Roman" w:hAnsi="Times New Roman" w:cs="Times New Roman"/>
          <w:lang w:val="en-US" w:eastAsia="zh-CN"/>
        </w:rPr>
        <w:t>个热点区域的具体交通状况</w:t>
      </w:r>
    </w:p>
    <w:p w14:paraId="0C739D24">
      <w:pPr>
        <w:pStyle w:val="4"/>
        <w:ind w:left="0" w:leftChars="0" w:firstLine="480" w:firstLineChars="200"/>
        <w:jc w:val="center"/>
        <w:rPr>
          <w:rFonts w:hint="eastAsia" w:ascii="Times New Roman" w:hAnsi="Times New Roman" w:cs="Times New Roman"/>
          <w:lang w:val="en-US" w:eastAsia="zh-CN"/>
        </w:rPr>
      </w:pPr>
      <w:r>
        <w:rPr>
          <w:rFonts w:hint="eastAsia" w:ascii="Times New Roman" w:hAnsi="Times New Roman" w:cs="Times New Roman"/>
          <w:lang w:val="en-US" w:eastAsia="zh-CN"/>
        </w:rPr>
        <w:t>（4a:P02;4b:P03;4c:P05;4d:P07;4e:P12）</w:t>
      </w:r>
    </w:p>
    <w:p w14:paraId="6EE6D414">
      <w:pPr>
        <w:pStyle w:val="4"/>
        <w:ind w:left="0" w:leftChars="0" w:firstLine="480" w:firstLineChars="200"/>
        <w:jc w:val="center"/>
        <w:rPr>
          <w:rFonts w:hint="default" w:ascii="Times New Roman" w:hAnsi="Times New Roman" w:cs="Times New Roman"/>
          <w:lang w:val="en-US" w:eastAsia="zh-CN"/>
        </w:rPr>
      </w:pPr>
    </w:p>
    <w:p w14:paraId="46EE4EE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）行为模式分析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通过对冲突事件的视频回放和系统化行为编码，本研究识别出十种典型的冲突触发行为，并依据行为特征将其归纳为注意力分散、违规运动、突发变向及空间侵占四大类别（如表11所示）。注意力分散类行为是导致冲突的首要原因，共发生111起，占总数的37.8%。该类别包括低头看手机行为55起（占18.7%），观察发现这些使用者在查看课程信息、回复消息或使用其他应用时，平均低头时长达8至12秒，其间对周围交通环境完全失去感知。戴耳机听音乐行为33起（占11.2%），该行为严重削弱了使用者对周围环境声音信号的感知能力，实测显示佩戴耳机者对自行车铃声的响应时间比正常情况延长2至3倍。边走边聊天行为23起（占7.8%），多发生于结伴同行的学生之间，谈话过程中的注意力转移使其对周围交通状况的警觉性显著下降，同时行进速度不稳定且路径随机性增强。</w:t>
      </w:r>
    </w:p>
    <w:p w14:paraId="207286E7">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违规运动类行为位居第二</w:t>
      </w:r>
      <w:r>
        <w:rPr>
          <w:rFonts w:hint="eastAsia" w:ascii="Times New Roman" w:hAnsi="Times New Roman" w:cs="Times New Roman"/>
          <w:lang w:val="en-US" w:eastAsia="zh-CN"/>
        </w:rPr>
        <w:t>，</w:t>
      </w:r>
      <w:r>
        <w:rPr>
          <w:rFonts w:hint="default" w:ascii="Times New Roman" w:hAnsi="Times New Roman" w:cs="Times New Roman"/>
          <w:lang w:val="en-US" w:eastAsia="zh-CN"/>
        </w:rPr>
        <w:t>共发生92起，占总数的31.3%。其中逆向骑行行为45起（占15.3%），观察发现这些骑行者多为节省30至50米的绕行距离而选择逆向通行，完全无视既定的交通规则和其他使用者的通行权利。超速骑行行为27起（占9.2%），主要发生在临近上课时间的赶时间学生身上，测速显示部分骑行者速度超过每小时25公里，远高于校园内每小时15公里的安全速度建议值，过快的速度大幅降低了应对突发情况的反应时间和制动距离。人行道骑行行为20起（占6.8%），反映出部分骑行者对行人路权的漠视以及对自身便利性的优先考量，这种行为迫使行人被动避让，严重破坏了正常的通行秩序。</w:t>
      </w:r>
    </w:p>
    <w:p w14:paraId="31A3EBF5">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突发变向类行为发生58起，占总数的19.7%。该类别中突然转向行为36起（占12.2%），通过行为分析发现，约60%的突然转向由骑行者临时改变目的地引发，25%因发现熟人打招呼而产生，15%为避让路面障碍物所致。这些转向行为缺乏提前预判和明确的手势或声音信号，使周围行人或其他骑行者难以及时做出反应。急停急起行为22起（占7.5%），多与前方交通状况的突然变化有关，如前方行人的意外停步、其他自行车的突然出现或路面障碍物的发现等，急停行为容易引发后方追尾风险。</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空间侵占类行为相对较少，发生33起，占总数的11.2%。并排骑行行为20起（占6.8%），常见于结伴骑行的学生群体，两人或三人并排骑行的宽度可达2.5至3米，在宽度仅4至5米的共享道路上几乎完全阻断了其他使用者的正常通行空间。蛇形穿行行为13起（占4.4%），多为骑行者在人群密集区域为快速通过而采取的激进策略，虽然提高了骑行者本人的通行效率，但显著增加了与行人发生身体接触甚至碰撞的风险，同时也造成了行人的心理不适和安全焦虑。</w:t>
      </w:r>
    </w:p>
    <w:p w14:paraId="1F02A059">
      <w:pPr>
        <w:pStyle w:val="4"/>
        <w:ind w:left="0" w:leftChars="0" w:firstLine="480" w:firstLineChars="200"/>
        <w:jc w:val="both"/>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表11 冲突行为模式统计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2270"/>
        <w:gridCol w:w="1180"/>
        <w:gridCol w:w="1420"/>
      </w:tblGrid>
      <w:tr w14:paraId="6B7AB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2455ED56">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行为类别</w:t>
            </w:r>
          </w:p>
        </w:tc>
        <w:tc>
          <w:tcPr>
            <w:tcW w:w="0" w:type="auto"/>
            <w:tcBorders>
              <w:top w:val="single" w:color="000000" w:sz="4" w:space="0"/>
              <w:left w:val="nil"/>
              <w:bottom w:val="single" w:color="000000" w:sz="12" w:space="0"/>
              <w:right w:val="nil"/>
            </w:tcBorders>
            <w:shd w:val="clear" w:color="auto" w:fill="FFFFFF"/>
            <w:vAlign w:val="center"/>
          </w:tcPr>
          <w:p w14:paraId="696BC3C0">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具体行为</w:t>
            </w:r>
          </w:p>
        </w:tc>
        <w:tc>
          <w:tcPr>
            <w:tcW w:w="0" w:type="auto"/>
            <w:tcBorders>
              <w:top w:val="single" w:color="000000" w:sz="4" w:space="0"/>
              <w:left w:val="nil"/>
              <w:bottom w:val="single" w:color="000000" w:sz="12" w:space="0"/>
              <w:right w:val="nil"/>
            </w:tcBorders>
            <w:shd w:val="clear" w:color="auto" w:fill="FFFFFF"/>
            <w:vAlign w:val="center"/>
          </w:tcPr>
          <w:p w14:paraId="4032501C">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发生次数</w:t>
            </w:r>
          </w:p>
        </w:tc>
        <w:tc>
          <w:tcPr>
            <w:tcW w:w="0" w:type="auto"/>
            <w:tcBorders>
              <w:top w:val="single" w:color="000000" w:sz="4" w:space="0"/>
              <w:left w:val="nil"/>
              <w:bottom w:val="single" w:color="000000" w:sz="12" w:space="0"/>
              <w:right w:val="nil"/>
            </w:tcBorders>
            <w:shd w:val="clear" w:color="auto" w:fill="FFFFFF"/>
            <w:vAlign w:val="center"/>
          </w:tcPr>
          <w:p w14:paraId="4D76843B">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占比</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w:t>
            </w:r>
            <w:r>
              <w:rPr>
                <w:rFonts w:hint="eastAsia" w:ascii="Times New Roman" w:hAnsi="Times New Roman" w:eastAsia="宋体" w:cs="Times New Roman"/>
                <w:b/>
                <w:bCs/>
                <w:kern w:val="0"/>
                <w:sz w:val="24"/>
                <w:szCs w:val="24"/>
                <w:lang w:val="en-US" w:eastAsia="zh-CN" w:bidi="ar"/>
              </w:rPr>
              <w:t>）</w:t>
            </w:r>
          </w:p>
        </w:tc>
      </w:tr>
      <w:tr w14:paraId="04D17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4D007D7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注意力分散</w:t>
            </w:r>
          </w:p>
        </w:tc>
        <w:tc>
          <w:tcPr>
            <w:tcW w:w="0" w:type="auto"/>
            <w:tcBorders>
              <w:top w:val="single" w:color="000000" w:sz="12" w:space="0"/>
              <w:left w:val="nil"/>
              <w:bottom w:val="nil"/>
              <w:right w:val="nil"/>
            </w:tcBorders>
            <w:shd w:val="clear" w:color="auto" w:fill="FFFFFF"/>
            <w:vAlign w:val="center"/>
          </w:tcPr>
          <w:p w14:paraId="302440D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看手机/听音乐/聊天</w:t>
            </w:r>
          </w:p>
        </w:tc>
        <w:tc>
          <w:tcPr>
            <w:tcW w:w="0" w:type="auto"/>
            <w:tcBorders>
              <w:top w:val="single" w:color="000000" w:sz="12" w:space="0"/>
              <w:left w:val="nil"/>
              <w:bottom w:val="nil"/>
              <w:right w:val="nil"/>
            </w:tcBorders>
            <w:shd w:val="clear" w:color="auto" w:fill="FFFFFF"/>
            <w:vAlign w:val="center"/>
          </w:tcPr>
          <w:p w14:paraId="5B9D985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111</w:t>
            </w:r>
          </w:p>
        </w:tc>
        <w:tc>
          <w:tcPr>
            <w:tcW w:w="0" w:type="auto"/>
            <w:tcBorders>
              <w:top w:val="single" w:color="000000" w:sz="12" w:space="0"/>
              <w:left w:val="nil"/>
              <w:bottom w:val="nil"/>
              <w:right w:val="nil"/>
            </w:tcBorders>
            <w:shd w:val="clear" w:color="auto" w:fill="FFFFFF"/>
            <w:vAlign w:val="center"/>
          </w:tcPr>
          <w:p w14:paraId="197AC2C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37.8</w:t>
            </w:r>
          </w:p>
        </w:tc>
      </w:tr>
      <w:tr w14:paraId="748DB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CFD1FF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违规运动</w:t>
            </w:r>
          </w:p>
        </w:tc>
        <w:tc>
          <w:tcPr>
            <w:tcW w:w="0" w:type="auto"/>
            <w:tcBorders>
              <w:top w:val="nil"/>
              <w:left w:val="nil"/>
              <w:bottom w:val="nil"/>
              <w:right w:val="nil"/>
            </w:tcBorders>
            <w:shd w:val="clear" w:color="auto" w:fill="FFFFFF"/>
            <w:vAlign w:val="center"/>
          </w:tcPr>
          <w:p w14:paraId="5B0D91C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逆向/超速/占道</w:t>
            </w:r>
          </w:p>
        </w:tc>
        <w:tc>
          <w:tcPr>
            <w:tcW w:w="0" w:type="auto"/>
            <w:tcBorders>
              <w:top w:val="nil"/>
              <w:left w:val="nil"/>
              <w:bottom w:val="nil"/>
              <w:right w:val="nil"/>
            </w:tcBorders>
            <w:shd w:val="clear" w:color="auto" w:fill="FFFFFF"/>
            <w:vAlign w:val="center"/>
          </w:tcPr>
          <w:p w14:paraId="6A652B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92</w:t>
            </w:r>
          </w:p>
        </w:tc>
        <w:tc>
          <w:tcPr>
            <w:tcW w:w="0" w:type="auto"/>
            <w:tcBorders>
              <w:top w:val="nil"/>
              <w:left w:val="nil"/>
              <w:bottom w:val="nil"/>
              <w:right w:val="nil"/>
            </w:tcBorders>
            <w:shd w:val="clear" w:color="auto" w:fill="FFFFFF"/>
            <w:vAlign w:val="center"/>
          </w:tcPr>
          <w:p w14:paraId="1E5CC74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31.3</w:t>
            </w:r>
          </w:p>
        </w:tc>
      </w:tr>
      <w:tr w14:paraId="2739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3C3A51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突发变向</w:t>
            </w:r>
          </w:p>
        </w:tc>
        <w:tc>
          <w:tcPr>
            <w:tcW w:w="0" w:type="auto"/>
            <w:tcBorders>
              <w:top w:val="nil"/>
              <w:left w:val="nil"/>
              <w:bottom w:val="nil"/>
              <w:right w:val="nil"/>
            </w:tcBorders>
            <w:shd w:val="clear" w:color="auto" w:fill="FFFFFF"/>
            <w:vAlign w:val="center"/>
          </w:tcPr>
          <w:p w14:paraId="31695C9F">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急转/急停</w:t>
            </w:r>
          </w:p>
        </w:tc>
        <w:tc>
          <w:tcPr>
            <w:tcW w:w="0" w:type="auto"/>
            <w:tcBorders>
              <w:top w:val="nil"/>
              <w:left w:val="nil"/>
              <w:bottom w:val="nil"/>
              <w:right w:val="nil"/>
            </w:tcBorders>
            <w:shd w:val="clear" w:color="auto" w:fill="FFFFFF"/>
            <w:vAlign w:val="center"/>
          </w:tcPr>
          <w:p w14:paraId="2E511D0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58</w:t>
            </w:r>
          </w:p>
        </w:tc>
        <w:tc>
          <w:tcPr>
            <w:tcW w:w="0" w:type="auto"/>
            <w:tcBorders>
              <w:top w:val="nil"/>
              <w:left w:val="nil"/>
              <w:bottom w:val="nil"/>
              <w:right w:val="nil"/>
            </w:tcBorders>
            <w:shd w:val="clear" w:color="auto" w:fill="FFFFFF"/>
            <w:vAlign w:val="center"/>
          </w:tcPr>
          <w:p w14:paraId="5DA8211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19.7</w:t>
            </w:r>
          </w:p>
        </w:tc>
      </w:tr>
      <w:tr w14:paraId="322F8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51E08A2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空间侵占</w:t>
            </w:r>
          </w:p>
        </w:tc>
        <w:tc>
          <w:tcPr>
            <w:tcW w:w="0" w:type="auto"/>
            <w:tcBorders>
              <w:top w:val="nil"/>
              <w:left w:val="nil"/>
              <w:bottom w:val="single" w:color="000000" w:sz="4" w:space="0"/>
              <w:right w:val="nil"/>
            </w:tcBorders>
            <w:shd w:val="clear" w:color="auto" w:fill="FFFFFF"/>
            <w:vAlign w:val="center"/>
          </w:tcPr>
          <w:p w14:paraId="4685372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并排/蛇形</w:t>
            </w:r>
          </w:p>
        </w:tc>
        <w:tc>
          <w:tcPr>
            <w:tcW w:w="0" w:type="auto"/>
            <w:tcBorders>
              <w:top w:val="nil"/>
              <w:left w:val="nil"/>
              <w:bottom w:val="single" w:color="000000" w:sz="4" w:space="0"/>
              <w:right w:val="nil"/>
            </w:tcBorders>
            <w:shd w:val="clear" w:color="auto" w:fill="FFFFFF"/>
            <w:vAlign w:val="center"/>
          </w:tcPr>
          <w:p w14:paraId="4CE98D7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33</w:t>
            </w:r>
          </w:p>
        </w:tc>
        <w:tc>
          <w:tcPr>
            <w:tcW w:w="0" w:type="auto"/>
            <w:tcBorders>
              <w:top w:val="nil"/>
              <w:left w:val="nil"/>
              <w:bottom w:val="single" w:color="000000" w:sz="4" w:space="0"/>
              <w:right w:val="nil"/>
            </w:tcBorders>
            <w:shd w:val="clear" w:color="auto" w:fill="FFFFFF"/>
            <w:vAlign w:val="center"/>
          </w:tcPr>
          <w:p w14:paraId="4D0BDD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11.2</w:t>
            </w:r>
          </w:p>
        </w:tc>
      </w:tr>
    </w:tbl>
    <w:p w14:paraId="17951564">
      <w:pPr>
        <w:pStyle w:val="4"/>
        <w:ind w:left="0" w:leftChars="0" w:firstLine="480" w:firstLineChars="200"/>
        <w:jc w:val="both"/>
        <w:rPr>
          <w:rFonts w:hint="default" w:ascii="Times New Roman" w:hAnsi="Times New Roman" w:eastAsia="宋体" w:cs="Times New Roman"/>
          <w:lang w:val="en-US" w:eastAsia="zh-CN"/>
        </w:rPr>
      </w:pPr>
    </w:p>
    <w:p w14:paraId="2EC19AE2">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（4）</w:t>
      </w:r>
      <w:r>
        <w:rPr>
          <w:rFonts w:hint="eastAsia" w:ascii="黑体" w:hAnsi="黑体" w:eastAsia="黑体" w:cs="黑体"/>
          <w:lang w:val="en-US" w:eastAsia="zh-CN"/>
        </w:rPr>
        <w:t>校园共享道路交通</w:t>
      </w:r>
      <w:r>
        <w:rPr>
          <w:rFonts w:hint="default" w:ascii="黑体" w:hAnsi="黑体" w:eastAsia="黑体" w:cs="黑体"/>
          <w:lang w:val="en-US" w:eastAsia="zh-CN"/>
        </w:rPr>
        <w:t>环境</w:t>
      </w:r>
      <w:r>
        <w:rPr>
          <w:rFonts w:hint="eastAsia" w:ascii="黑体" w:hAnsi="黑体" w:eastAsia="黑体" w:cs="黑体"/>
          <w:lang w:val="en-US" w:eastAsia="zh-CN"/>
        </w:rPr>
        <w:t>与冲突行为的相关性</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校园共享道路交通环境因素对冲突发生具有显著且可量化的影响。通过多元回归分析方法，本研究系统评估了五类主要环境因素对冲突发生率的影响程度，包括道路宽度、标识完整度、视距条件、照明水平及路面平整度（如表12所示）。道路宽度被证实为影响冲突发生的首要环境因素，其与冲突发生率呈现强负相关关系（r=-0.72，显著性水平p＜0.001）。详细的分段统计显示，当道路宽度小于4米时，人车混行导致的空间竞争显著加剧，平均每100米路段每天发生冲突8.3起。当道路宽度介于4米至6米之间时，冲突发生率降至每天4.7起。而当道路宽度大于6米时，充足的横向空间使行人与骑行者能够保持1.5米以上的安全距离，冲突发生率显著降至每天2.1起，相比窄路段降幅达74.7%。这一发现为校园道路改造和新建道路设计提供了明确的量化参数依据。</w:t>
      </w:r>
    </w:p>
    <w:p w14:paraId="41BB8C8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标识系统的完整性同样对冲突发生产生强烈影响（r</w:t>
      </w:r>
      <w:r>
        <w:rPr>
          <w:rFonts w:hint="eastAsia" w:ascii="Times New Roman" w:hAnsi="Times New Roman" w:cs="Times New Roman"/>
          <w:lang w:val="en-US" w:eastAsia="zh-CN"/>
        </w:rPr>
        <w:t>=-</w:t>
      </w:r>
      <w:r>
        <w:rPr>
          <w:rFonts w:hint="default" w:ascii="Times New Roman" w:hAnsi="Times New Roman" w:cs="Times New Roman"/>
          <w:lang w:val="en-US" w:eastAsia="zh-CN"/>
        </w:rPr>
        <w:t>0.58，显著性水平p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对比研究发现，缺乏明确的行人与骑行分区标识的路段，其冲突发生率是具有完整标识路段的2.7倍。完整的标识系统包括清晰的地面标线、醒目的指示牌、合理的颜色区分以及必要的文字说明，这些视觉引导元素能够有效规范交通参与者的行为模式，减少因空间归属不明确而产生的随意性通行和路权争夺。视距条件也是重要的影响因素（r</w:t>
      </w:r>
      <w:r>
        <w:rPr>
          <w:rFonts w:hint="eastAsia" w:ascii="Times New Roman" w:hAnsi="Times New Roman" w:cs="Times New Roman"/>
          <w:lang w:val="en-US" w:eastAsia="zh-CN"/>
        </w:rPr>
        <w:t>=-</w:t>
      </w:r>
      <w:r>
        <w:rPr>
          <w:rFonts w:hint="default" w:ascii="Times New Roman" w:hAnsi="Times New Roman" w:cs="Times New Roman"/>
          <w:lang w:val="en-US" w:eastAsia="zh-CN"/>
        </w:rPr>
        <w:t>0.51，显著性水平p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0.001）。实测数据表明，弯道路段、坡道路段以及绿化遮挡物密集区域的冲突率比视野开阔路段高出约65%。受限的视距减少了交通参与者的预判时间和反应距离，当视距小于20米时，骑行者的有效刹车距离已无法满足安全要求。</w:t>
      </w:r>
    </w:p>
    <w:p w14:paraId="7FC20383">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照明水平对冲突发生呈现中等程度的影响（r</w:t>
      </w:r>
      <w:r>
        <w:rPr>
          <w:rFonts w:hint="eastAsia" w:ascii="Times New Roman" w:hAnsi="Times New Roman" w:cs="Times New Roman"/>
          <w:lang w:val="en-US" w:eastAsia="zh-CN"/>
        </w:rPr>
        <w:t>=-</w:t>
      </w:r>
      <w:r>
        <w:rPr>
          <w:rFonts w:hint="default" w:ascii="Times New Roman" w:hAnsi="Times New Roman" w:cs="Times New Roman"/>
          <w:lang w:val="en-US" w:eastAsia="zh-CN"/>
        </w:rPr>
        <w:t>0.43，显著性水平p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0.01）。这一因素在傍晚和夜间时段的作用尤为突出，对比分析显示，照明良好路段的夜间冲突率仅为照明不足路段的45%。充足的照明不仅提高了交通参与者之间的相互识别距离，也增强了整体的安全感和警觉性，促使骑行者主动降低速度并提高注意力。路面平整度的影响相对较弱（</w:t>
      </w:r>
      <w:r>
        <w:rPr>
          <w:rFonts w:hint="eastAsia" w:ascii="Times New Roman" w:hAnsi="Times New Roman" w:cs="Times New Roman"/>
          <w:lang w:val="en-US" w:eastAsia="zh-CN"/>
        </w:rPr>
        <w:t>r=-</w:t>
      </w:r>
      <w:r>
        <w:rPr>
          <w:rFonts w:hint="default" w:ascii="Times New Roman" w:hAnsi="Times New Roman" w:cs="Times New Roman"/>
          <w:lang w:val="en-US" w:eastAsia="zh-CN"/>
        </w:rPr>
        <w:t>0.31，显著性水平p</w:t>
      </w:r>
      <w:r>
        <w:rPr>
          <w:rFonts w:hint="eastAsia" w:ascii="Times New Roman" w:hAnsi="Times New Roman" w:cs="Times New Roman"/>
          <w:lang w:val="en-US" w:eastAsia="zh-CN"/>
        </w:rPr>
        <w:t>＜</w:t>
      </w:r>
      <w:r>
        <w:rPr>
          <w:rFonts w:hint="default" w:ascii="Times New Roman" w:hAnsi="Times New Roman" w:cs="Times New Roman"/>
          <w:lang w:val="en-US" w:eastAsia="zh-CN"/>
        </w:rPr>
        <w:t>0.05），但在特定条件下其作用不容忽视。雨天或路面维护不良的情况下，坑洼、积水、破损路面等问题会迫使骑行者频繁改变行进路线或突然减速，从而显著增强其对冲突发生的间接影响作用。</w:t>
      </w:r>
    </w:p>
    <w:p w14:paraId="0ECFE57B">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表12 校园共享道路交通环境与冲突行为的相关性统计</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769"/>
        <w:gridCol w:w="1421"/>
        <w:gridCol w:w="1180"/>
      </w:tblGrid>
      <w:tr w14:paraId="64060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07E8A4B">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环境因素</w:t>
            </w:r>
          </w:p>
        </w:tc>
        <w:tc>
          <w:tcPr>
            <w:tcW w:w="0" w:type="auto"/>
            <w:tcBorders>
              <w:top w:val="single" w:color="000000" w:sz="4" w:space="0"/>
              <w:left w:val="nil"/>
              <w:bottom w:val="single" w:color="000000" w:sz="12" w:space="0"/>
              <w:right w:val="nil"/>
            </w:tcBorders>
            <w:shd w:val="clear" w:color="auto" w:fill="FFFFFF"/>
            <w:vAlign w:val="center"/>
          </w:tcPr>
          <w:p w14:paraId="02192B14">
            <w:pPr>
              <w:keepNext w:val="0"/>
              <w:keepLines w:val="0"/>
              <w:widowControl/>
              <w:suppressLineNumbers w:val="0"/>
              <w:jc w:val="center"/>
              <w:rPr>
                <w:rFonts w:hint="default" w:ascii="Times New Roman" w:hAnsi="Times New Roman" w:eastAsia="宋体" w:cs="Times New Roman"/>
                <w:b/>
                <w:bCs w:val="0"/>
                <w:color w:val="000000"/>
                <w:sz w:val="24"/>
                <w:szCs w:val="24"/>
                <w:vertAlign w:val="baseline"/>
                <w:lang w:val="en-US" w:eastAsia="zh-CN"/>
              </w:rPr>
            </w:pPr>
            <w:r>
              <w:rPr>
                <w:rFonts w:hint="default" w:ascii="Times New Roman" w:hAnsi="Times New Roman" w:eastAsia="宋体" w:cs="Times New Roman"/>
                <w:b/>
                <w:bCs/>
                <w:kern w:val="0"/>
                <w:sz w:val="24"/>
                <w:szCs w:val="24"/>
                <w:lang w:val="en-US" w:eastAsia="zh-CN" w:bidi="ar"/>
              </w:rPr>
              <w:t>相关系数</w:t>
            </w:r>
            <w:r>
              <w:rPr>
                <w:rFonts w:hint="eastAsia" w:ascii="Times New Roman" w:hAnsi="Times New Roman" w:eastAsia="宋体" w:cs="Times New Roman"/>
                <w:b/>
                <w:bCs/>
                <w:kern w:val="0"/>
                <w:sz w:val="24"/>
                <w:szCs w:val="24"/>
                <w:lang w:val="en-US" w:eastAsia="zh-CN" w:bidi="ar"/>
              </w:rPr>
              <w:t>（</w:t>
            </w:r>
            <w:r>
              <w:rPr>
                <w:rFonts w:hint="default" w:ascii="Times New Roman" w:hAnsi="Times New Roman" w:eastAsia="宋体" w:cs="Times New Roman"/>
                <w:b/>
                <w:bCs/>
                <w:kern w:val="0"/>
                <w:sz w:val="24"/>
                <w:szCs w:val="24"/>
                <w:lang w:val="en-US" w:eastAsia="zh-CN" w:bidi="ar"/>
              </w:rPr>
              <w:t>r</w:t>
            </w:r>
            <w:r>
              <w:rPr>
                <w:rFonts w:hint="eastAsia" w:ascii="Times New Roman" w:hAnsi="Times New Roman" w:eastAsia="宋体" w:cs="Times New Roman"/>
                <w:b/>
                <w:bCs/>
                <w:kern w:val="0"/>
                <w:sz w:val="24"/>
                <w:szCs w:val="24"/>
                <w:lang w:val="en-US" w:eastAsia="zh-CN" w:bidi="ar"/>
              </w:rPr>
              <w:t>）</w:t>
            </w:r>
          </w:p>
        </w:tc>
        <w:tc>
          <w:tcPr>
            <w:tcW w:w="0" w:type="auto"/>
            <w:tcBorders>
              <w:top w:val="single" w:color="000000" w:sz="4" w:space="0"/>
              <w:left w:val="nil"/>
              <w:bottom w:val="single" w:color="000000" w:sz="12" w:space="0"/>
              <w:right w:val="nil"/>
            </w:tcBorders>
            <w:shd w:val="clear" w:color="auto" w:fill="FFFFFF"/>
            <w:vAlign w:val="center"/>
          </w:tcPr>
          <w:p w14:paraId="4672E963">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显著性水平</w:t>
            </w:r>
          </w:p>
        </w:tc>
        <w:tc>
          <w:tcPr>
            <w:tcW w:w="0" w:type="auto"/>
            <w:tcBorders>
              <w:top w:val="single" w:color="000000" w:sz="4" w:space="0"/>
              <w:left w:val="nil"/>
              <w:bottom w:val="single" w:color="000000" w:sz="12" w:space="0"/>
              <w:right w:val="nil"/>
            </w:tcBorders>
            <w:shd w:val="clear" w:color="auto" w:fill="FFFFFF"/>
            <w:vAlign w:val="center"/>
          </w:tcPr>
          <w:p w14:paraId="42BDF44E">
            <w:pPr>
              <w:keepNext w:val="0"/>
              <w:keepLines w:val="0"/>
              <w:widowControl/>
              <w:suppressLineNumbers w:val="0"/>
              <w:jc w:val="center"/>
              <w:rPr>
                <w:rFonts w:hint="default" w:ascii="Times New Roman" w:hAnsi="Times New Roman" w:eastAsia="宋体" w:cs="Times New Roman"/>
                <w:b/>
                <w:bCs w:val="0"/>
                <w:color w:val="00000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影响程度</w:t>
            </w:r>
          </w:p>
        </w:tc>
      </w:tr>
      <w:tr w14:paraId="3D9D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single" w:color="000000" w:sz="12" w:space="0"/>
              <w:left w:val="nil"/>
              <w:bottom w:val="nil"/>
              <w:right w:val="nil"/>
            </w:tcBorders>
            <w:shd w:val="clear" w:color="auto" w:fill="FFFFFF"/>
            <w:vAlign w:val="center"/>
          </w:tcPr>
          <w:p w14:paraId="13BD6AF9">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道路宽度</w:t>
            </w:r>
          </w:p>
        </w:tc>
        <w:tc>
          <w:tcPr>
            <w:tcW w:w="0" w:type="auto"/>
            <w:tcBorders>
              <w:top w:val="single" w:color="000000" w:sz="12" w:space="0"/>
              <w:left w:val="nil"/>
              <w:bottom w:val="nil"/>
              <w:right w:val="nil"/>
            </w:tcBorders>
            <w:shd w:val="clear" w:color="auto" w:fill="FFFFFF"/>
            <w:vAlign w:val="center"/>
          </w:tcPr>
          <w:p w14:paraId="1C75FDB5">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-0.72</w:t>
            </w:r>
          </w:p>
        </w:tc>
        <w:tc>
          <w:tcPr>
            <w:tcW w:w="0" w:type="auto"/>
            <w:tcBorders>
              <w:top w:val="single" w:color="000000" w:sz="12" w:space="0"/>
              <w:left w:val="nil"/>
              <w:bottom w:val="nil"/>
              <w:right w:val="nil"/>
            </w:tcBorders>
            <w:shd w:val="clear" w:color="auto" w:fill="FFFFFF"/>
            <w:vAlign w:val="center"/>
          </w:tcPr>
          <w:p w14:paraId="5E50B3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single" w:color="000000" w:sz="12" w:space="0"/>
              <w:left w:val="nil"/>
              <w:bottom w:val="nil"/>
              <w:right w:val="nil"/>
            </w:tcBorders>
            <w:shd w:val="clear" w:color="auto" w:fill="FFFFFF"/>
            <w:vAlign w:val="center"/>
          </w:tcPr>
          <w:p w14:paraId="5C6B927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极强</w:t>
            </w:r>
          </w:p>
        </w:tc>
      </w:tr>
      <w:tr w14:paraId="60A59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04F051">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标识完整度</w:t>
            </w:r>
          </w:p>
        </w:tc>
        <w:tc>
          <w:tcPr>
            <w:tcW w:w="0" w:type="auto"/>
            <w:tcBorders>
              <w:top w:val="nil"/>
              <w:left w:val="nil"/>
              <w:bottom w:val="nil"/>
              <w:right w:val="nil"/>
            </w:tcBorders>
            <w:shd w:val="clear" w:color="auto" w:fill="FFFFFF"/>
            <w:vAlign w:val="center"/>
          </w:tcPr>
          <w:p w14:paraId="51259500">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-0.58</w:t>
            </w:r>
          </w:p>
        </w:tc>
        <w:tc>
          <w:tcPr>
            <w:tcW w:w="0" w:type="auto"/>
            <w:tcBorders>
              <w:top w:val="nil"/>
              <w:left w:val="nil"/>
              <w:bottom w:val="nil"/>
              <w:right w:val="nil"/>
            </w:tcBorders>
            <w:shd w:val="clear" w:color="auto" w:fill="FFFFFF"/>
            <w:vAlign w:val="center"/>
          </w:tcPr>
          <w:p w14:paraId="6516A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486FF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35E4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BC552B9">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视距条件</w:t>
            </w:r>
          </w:p>
        </w:tc>
        <w:tc>
          <w:tcPr>
            <w:tcW w:w="0" w:type="auto"/>
            <w:tcBorders>
              <w:top w:val="nil"/>
              <w:left w:val="nil"/>
              <w:bottom w:val="nil"/>
              <w:right w:val="nil"/>
            </w:tcBorders>
            <w:shd w:val="clear" w:color="auto" w:fill="FFFFFF"/>
            <w:vAlign w:val="center"/>
          </w:tcPr>
          <w:p w14:paraId="4CF0C265">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-0.51</w:t>
            </w:r>
          </w:p>
        </w:tc>
        <w:tc>
          <w:tcPr>
            <w:tcW w:w="0" w:type="auto"/>
            <w:tcBorders>
              <w:top w:val="nil"/>
              <w:left w:val="nil"/>
              <w:bottom w:val="nil"/>
              <w:right w:val="nil"/>
            </w:tcBorders>
            <w:shd w:val="clear" w:color="auto" w:fill="FFFFFF"/>
            <w:vAlign w:val="center"/>
          </w:tcPr>
          <w:p w14:paraId="53A85D32">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p&lt;0.001</w:t>
            </w:r>
          </w:p>
        </w:tc>
        <w:tc>
          <w:tcPr>
            <w:tcW w:w="0" w:type="auto"/>
            <w:tcBorders>
              <w:top w:val="nil"/>
              <w:left w:val="nil"/>
              <w:bottom w:val="nil"/>
              <w:right w:val="nil"/>
            </w:tcBorders>
            <w:shd w:val="clear" w:color="auto" w:fill="FFFFFF"/>
            <w:vAlign w:val="center"/>
          </w:tcPr>
          <w:p w14:paraId="56A34E21">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强</w:t>
            </w:r>
          </w:p>
        </w:tc>
      </w:tr>
      <w:tr w14:paraId="7357D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5E2C02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照明水平</w:t>
            </w:r>
          </w:p>
        </w:tc>
        <w:tc>
          <w:tcPr>
            <w:tcW w:w="0" w:type="auto"/>
            <w:tcBorders>
              <w:top w:val="nil"/>
              <w:left w:val="nil"/>
              <w:bottom w:val="nil"/>
              <w:right w:val="nil"/>
            </w:tcBorders>
            <w:shd w:val="clear" w:color="auto" w:fill="FFFFFF"/>
            <w:vAlign w:val="center"/>
          </w:tcPr>
          <w:p w14:paraId="005BAFF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-0.43</w:t>
            </w:r>
          </w:p>
        </w:tc>
        <w:tc>
          <w:tcPr>
            <w:tcW w:w="0" w:type="auto"/>
            <w:tcBorders>
              <w:top w:val="nil"/>
              <w:left w:val="nil"/>
              <w:bottom w:val="nil"/>
              <w:right w:val="nil"/>
            </w:tcBorders>
            <w:shd w:val="clear" w:color="auto" w:fill="FFFFFF"/>
            <w:vAlign w:val="center"/>
          </w:tcPr>
          <w:p w14:paraId="69918C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p&lt;0.01</w:t>
            </w:r>
          </w:p>
        </w:tc>
        <w:tc>
          <w:tcPr>
            <w:tcW w:w="0" w:type="auto"/>
            <w:tcBorders>
              <w:top w:val="nil"/>
              <w:left w:val="nil"/>
              <w:bottom w:val="nil"/>
              <w:right w:val="nil"/>
            </w:tcBorders>
            <w:shd w:val="clear" w:color="auto" w:fill="FFFFFF"/>
            <w:vAlign w:val="center"/>
          </w:tcPr>
          <w:p w14:paraId="52A8115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中等</w:t>
            </w:r>
          </w:p>
        </w:tc>
      </w:tr>
      <w:tr w14:paraId="07FBD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3B2EF1E8">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路面平整度</w:t>
            </w:r>
          </w:p>
        </w:tc>
        <w:tc>
          <w:tcPr>
            <w:tcW w:w="0" w:type="auto"/>
            <w:tcBorders>
              <w:top w:val="nil"/>
              <w:left w:val="nil"/>
              <w:bottom w:val="single" w:color="000000" w:sz="4" w:space="0"/>
              <w:right w:val="nil"/>
            </w:tcBorders>
            <w:shd w:val="clear" w:color="auto" w:fill="FFFFFF"/>
            <w:vAlign w:val="center"/>
          </w:tcPr>
          <w:p w14:paraId="3911CDA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kern w:val="0"/>
                <w:sz w:val="24"/>
                <w:szCs w:val="24"/>
                <w:lang w:val="en-US" w:eastAsia="zh-CN" w:bidi="ar"/>
              </w:rPr>
              <w:t>-0.31</w:t>
            </w:r>
          </w:p>
        </w:tc>
        <w:tc>
          <w:tcPr>
            <w:tcW w:w="0" w:type="auto"/>
            <w:tcBorders>
              <w:top w:val="nil"/>
              <w:left w:val="nil"/>
              <w:bottom w:val="single" w:color="000000" w:sz="4" w:space="0"/>
              <w:right w:val="nil"/>
            </w:tcBorders>
            <w:shd w:val="clear" w:color="auto" w:fill="FFFFFF"/>
            <w:vAlign w:val="center"/>
          </w:tcPr>
          <w:p w14:paraId="44C203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p&lt;0.05</w:t>
            </w:r>
          </w:p>
        </w:tc>
        <w:tc>
          <w:tcPr>
            <w:tcW w:w="0" w:type="auto"/>
            <w:tcBorders>
              <w:top w:val="nil"/>
              <w:left w:val="nil"/>
              <w:bottom w:val="single" w:color="000000" w:sz="4" w:space="0"/>
              <w:right w:val="nil"/>
            </w:tcBorders>
            <w:shd w:val="clear" w:color="auto" w:fill="FFFFFF"/>
            <w:vAlign w:val="center"/>
          </w:tcPr>
          <w:p w14:paraId="0886C3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kern w:val="0"/>
                <w:sz w:val="24"/>
                <w:szCs w:val="24"/>
                <w:lang w:val="en-US" w:eastAsia="zh-CN" w:bidi="ar"/>
              </w:rPr>
              <w:t>弱</w:t>
            </w:r>
          </w:p>
        </w:tc>
      </w:tr>
    </w:tbl>
    <w:p w14:paraId="0C8CBDA8">
      <w:pPr>
        <w:pStyle w:val="4"/>
        <w:ind w:left="0" w:leftChars="0" w:firstLine="480" w:firstLineChars="200"/>
        <w:jc w:val="both"/>
        <w:rPr>
          <w:rFonts w:hint="default" w:ascii="Times New Roman" w:hAnsi="Times New Roman" w:eastAsia="宋体" w:cs="Times New Roman"/>
          <w:lang w:val="en-US" w:eastAsia="zh-CN"/>
        </w:rPr>
      </w:pPr>
    </w:p>
    <w:p w14:paraId="492C21A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4.1.</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0B06D8B2">
      <w:pPr>
        <w:pStyle w:val="4"/>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本研究通过对湖北工业大学主校区为期一个月的系统观察，识别出294起有效冲突事件，揭示了校园共享道路人车冲突的三个核心规律。</w:t>
      </w:r>
    </w:p>
    <w:p w14:paraId="02DE902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冲突事件呈现出显著的时空集聚特性。在工作日，冲突事件占比高达</w:t>
      </w:r>
      <w:r>
        <w:rPr>
          <w:rFonts w:hint="eastAsia" w:ascii="Times New Roman" w:hAnsi="Times New Roman" w:cs="Times New Roman"/>
          <w:lang w:val="en-US" w:eastAsia="zh-CN"/>
        </w:rPr>
        <w:t>87.3%</w:t>
      </w:r>
      <w:r>
        <w:rPr>
          <w:rFonts w:hint="eastAsia" w:ascii="Times New Roman" w:hAnsi="Times New Roman" w:eastAsia="宋体" w:cs="Times New Roman"/>
          <w:lang w:val="en-US" w:eastAsia="zh-CN"/>
        </w:rPr>
        <w:t>，早高峰时段冲突密度达到峰值，这一现象印证了集中出行致使交通压力急剧增加的理论。五个主要热点区域集中了</w:t>
      </w:r>
      <w:r>
        <w:rPr>
          <w:rFonts w:hint="eastAsia" w:ascii="Times New Roman" w:hAnsi="Times New Roman" w:cs="Times New Roman"/>
          <w:lang w:val="en-US" w:eastAsia="zh-CN"/>
        </w:rPr>
        <w:t>51.7%</w:t>
      </w:r>
      <w:r>
        <w:rPr>
          <w:rFonts w:hint="eastAsia" w:ascii="Times New Roman" w:hAnsi="Times New Roman" w:eastAsia="宋体" w:cs="Times New Roman"/>
          <w:lang w:val="en-US" w:eastAsia="zh-CN"/>
        </w:rPr>
        <w:t>的冲突事件，这种空间集中性表明冲突并非随机产生，而是受到特定空间</w:t>
      </w:r>
      <w:r>
        <w:rPr>
          <w:rFonts w:hint="eastAsia" w:ascii="Times New Roman" w:hAnsi="Times New Roman" w:cs="Times New Roman"/>
          <w:lang w:val="en-US" w:eastAsia="zh-CN"/>
        </w:rPr>
        <w:t>环境</w:t>
      </w:r>
      <w:r>
        <w:rPr>
          <w:rFonts w:hint="eastAsia" w:ascii="Times New Roman" w:hAnsi="Times New Roman" w:eastAsia="宋体" w:cs="Times New Roman"/>
          <w:lang w:val="en-US" w:eastAsia="zh-CN"/>
        </w:rPr>
        <w:t>的系统性作用。这一研究发现为精准化的改善举措提供了清晰的方向，促使管理资源能够聚焦于关键区域和关键时段。</w:t>
      </w:r>
    </w:p>
    <w:p w14:paraId="14B57C3F">
      <w:pPr>
        <w:pStyle w:val="4"/>
        <w:numPr>
          <w:ilvl w:val="0"/>
          <w:numId w:val="1"/>
        </w:numPr>
        <w:ind w:left="0" w:leftChars="0" w:firstLine="480" w:firstLineChars="200"/>
        <w:jc w:val="both"/>
      </w:pPr>
      <w:r>
        <w:rPr>
          <w:rFonts w:hint="eastAsia" w:ascii="Times New Roman" w:hAnsi="Times New Roman" w:eastAsia="宋体" w:cs="Times New Roman"/>
          <w:lang w:val="en-US" w:eastAsia="zh-CN"/>
        </w:rPr>
        <w:t>人为行为因素在冲突触发过程中占据主导地位。注意力分散类行为与违规运动类行为的占比合计达</w:t>
      </w:r>
      <w:r>
        <w:rPr>
          <w:rFonts w:hint="eastAsia" w:ascii="Times New Roman" w:hAnsi="Times New Roman" w:cs="Times New Roman"/>
          <w:lang w:val="en-US" w:eastAsia="zh-CN"/>
        </w:rPr>
        <w:t>69.1%</w:t>
      </w:r>
      <w:r>
        <w:rPr>
          <w:rFonts w:hint="eastAsia" w:ascii="Times New Roman" w:hAnsi="Times New Roman" w:eastAsia="宋体" w:cs="Times New Roman"/>
          <w:lang w:val="en-US" w:eastAsia="zh-CN"/>
        </w:rPr>
        <w:t>，这表明冲突的根源在于交通参与者的主观意识和行为抉择。其中，低头看手机以</w:t>
      </w:r>
      <w:r>
        <w:rPr>
          <w:rFonts w:hint="eastAsia" w:ascii="Times New Roman" w:hAnsi="Times New Roman" w:cs="Times New Roman"/>
          <w:lang w:val="en-US" w:eastAsia="zh-CN"/>
        </w:rPr>
        <w:t>18.7%</w:t>
      </w:r>
      <w:r>
        <w:rPr>
          <w:rFonts w:hint="eastAsia" w:ascii="Times New Roman" w:hAnsi="Times New Roman" w:eastAsia="宋体" w:cs="Times New Roman"/>
          <w:lang w:val="en-US" w:eastAsia="zh-CN"/>
        </w:rPr>
        <w:t>的占比位居榜首，反映出移动互联网时代注意力资源被电子设备占用的普遍状况。</w:t>
      </w:r>
    </w:p>
    <w:p w14:paraId="303ACFFD">
      <w:pPr>
        <w:pStyle w:val="4"/>
        <w:numPr>
          <w:ilvl w:val="0"/>
          <w:numId w:val="1"/>
        </w:numPr>
        <w:ind w:left="0" w:leftChars="0"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环境因素对冲突发生具有可量化的显著影响。道路宽度的相关系数</w:t>
      </w:r>
      <w:r>
        <w:rPr>
          <w:rFonts w:hint="eastAsia" w:ascii="Times New Roman" w:hAnsi="Times New Roman" w:eastAsia="宋体" w:cs="Times New Roman"/>
          <w:lang w:val="en-US" w:eastAsia="zh-CN"/>
        </w:rPr>
        <w:t>为</w:t>
      </w:r>
      <w:r>
        <w:rPr>
          <w:rFonts w:hint="eastAsia" w:ascii="Times New Roman" w:hAnsi="Times New Roman" w:cs="Times New Roman"/>
          <w:lang w:val="en-US" w:eastAsia="zh-CN"/>
        </w:rPr>
        <w:t>-0.72</w:t>
      </w:r>
      <w:r>
        <w:rPr>
          <w:rFonts w:hint="default" w:ascii="Times New Roman" w:hAnsi="Times New Roman" w:eastAsia="宋体" w:cs="Times New Roman"/>
          <w:lang w:val="en-US" w:eastAsia="zh-CN"/>
        </w:rPr>
        <w:t>，当道路宽度从小于</w:t>
      </w:r>
      <w:r>
        <w:rPr>
          <w:rFonts w:hint="eastAsia" w:ascii="Times New Roman" w:hAnsi="Times New Roman" w:cs="Times New Roman"/>
          <w:lang w:val="en-US" w:eastAsia="zh-CN"/>
        </w:rPr>
        <w:t>4m</w:t>
      </w:r>
      <w:r>
        <w:rPr>
          <w:rFonts w:hint="eastAsia" w:ascii="Times New Roman" w:hAnsi="Times New Roman" w:eastAsia="宋体" w:cs="Times New Roman"/>
          <w:lang w:val="en-US" w:eastAsia="zh-CN"/>
        </w:rPr>
        <w:t>拓展</w:t>
      </w:r>
      <w:r>
        <w:rPr>
          <w:rFonts w:hint="default" w:ascii="Times New Roman" w:hAnsi="Times New Roman" w:eastAsia="宋体" w:cs="Times New Roman"/>
          <w:lang w:val="en-US" w:eastAsia="zh-CN"/>
        </w:rPr>
        <w:t>至大于</w:t>
      </w:r>
      <w:r>
        <w:rPr>
          <w:rFonts w:hint="eastAsia" w:ascii="Times New Roman" w:hAnsi="Times New Roman" w:cs="Times New Roman"/>
          <w:lang w:val="en-US" w:eastAsia="zh-CN"/>
        </w:rPr>
        <w:t>6m</w:t>
      </w:r>
      <w:r>
        <w:rPr>
          <w:rFonts w:hint="default" w:ascii="Times New Roman" w:hAnsi="Times New Roman" w:eastAsia="宋体" w:cs="Times New Roman"/>
          <w:lang w:val="en-US" w:eastAsia="zh-CN"/>
        </w:rPr>
        <w:t>时，冲突发生率降低超过</w:t>
      </w:r>
      <w:r>
        <w:rPr>
          <w:rFonts w:hint="eastAsia" w:ascii="Times New Roman" w:hAnsi="Times New Roman" w:cs="Times New Roman"/>
          <w:lang w:val="en-US" w:eastAsia="zh-CN"/>
        </w:rPr>
        <w:t>74%</w:t>
      </w:r>
      <w:r>
        <w:rPr>
          <w:rFonts w:hint="default" w:ascii="Times New Roman" w:hAnsi="Times New Roman" w:eastAsia="宋体" w:cs="Times New Roman"/>
          <w:lang w:val="en-US" w:eastAsia="zh-CN"/>
        </w:rPr>
        <w:t>。</w:t>
      </w:r>
      <w:r>
        <w:rPr>
          <w:rFonts w:hint="eastAsia" w:ascii="Times New Roman" w:hAnsi="Times New Roman" w:eastAsia="宋体" w:cs="Times New Roman"/>
          <w:lang w:val="en-US" w:eastAsia="zh-CN"/>
        </w:rPr>
        <w:t>标识系统完整度同样呈现出强相关性，标识完整路段的冲突率仅为标识缺失路段的</w:t>
      </w:r>
      <w:r>
        <w:rPr>
          <w:rFonts w:hint="eastAsia" w:ascii="Times New Roman" w:hAnsi="Times New Roman" w:cs="Times New Roman"/>
          <w:lang w:val="en-US" w:eastAsia="zh-CN"/>
        </w:rPr>
        <w:t>37%</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这些量化结果为校园道路改造提供了明确的设计参数，也为评估改造效果提供了可测量的基准指标。视距条件、照明水平和路面平整度的影响虽然相对较弱，但在特定情境下仍</w:t>
      </w:r>
      <w:r>
        <w:rPr>
          <w:rFonts w:hint="eastAsia" w:ascii="Times New Roman" w:hAnsi="Times New Roman" w:eastAsia="宋体" w:cs="Times New Roman"/>
          <w:lang w:val="en-US" w:eastAsia="zh-CN"/>
        </w:rPr>
        <w:t>发挥着</w:t>
      </w:r>
      <w:r>
        <w:rPr>
          <w:rFonts w:hint="default" w:ascii="Times New Roman" w:hAnsi="Times New Roman" w:eastAsia="宋体" w:cs="Times New Roman"/>
          <w:lang w:val="en-US" w:eastAsia="zh-CN"/>
        </w:rPr>
        <w:t>重要作用。</w:t>
      </w:r>
    </w:p>
    <w:p w14:paraId="7D15FDFE">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2共享道路冲突主体安全认知与行为意图作用机理研究</w:t>
      </w:r>
    </w:p>
    <w:p w14:paraId="7AC19BAB">
      <w:pPr>
        <w:pStyle w:val="4"/>
        <w:jc w:val="both"/>
        <w:rPr>
          <w:rFonts w:hint="default" w:ascii="Times New Roman" w:hAnsi="Times New Roman" w:cs="Times New Roman"/>
        </w:rPr>
      </w:pPr>
      <w:r>
        <w:rPr>
          <w:rFonts w:hint="default" w:ascii="Times New Roman" w:hAnsi="Times New Roman" w:cs="Times New Roman"/>
        </w:rPr>
        <w:t>在</w:t>
      </w:r>
      <w:r>
        <w:rPr>
          <w:rFonts w:hint="eastAsia" w:ascii="Times New Roman" w:hAnsi="Times New Roman" w:cs="Times New Roman"/>
          <w:lang w:val="en-US" w:eastAsia="zh-CN"/>
        </w:rPr>
        <w:t>高校</w:t>
      </w:r>
      <w:r>
        <w:rPr>
          <w:rFonts w:hint="default" w:ascii="Times New Roman" w:hAnsi="Times New Roman" w:cs="Times New Roman"/>
        </w:rPr>
        <w:t>共享的道路空间中，行人与骑行者</w:t>
      </w:r>
      <w:r>
        <w:rPr>
          <w:rFonts w:hint="eastAsia" w:ascii="Times New Roman" w:hAnsi="Times New Roman" w:cs="Times New Roman"/>
          <w:lang w:val="en-US" w:eastAsia="zh-CN"/>
        </w:rPr>
        <w:t>是当前校园共享道路冲突的主体。两者间的交通</w:t>
      </w:r>
      <w:r>
        <w:rPr>
          <w:rFonts w:hint="default" w:ascii="Times New Roman" w:hAnsi="Times New Roman" w:cs="Times New Roman"/>
        </w:rPr>
        <w:t>冲突不仅表现在物理空间的竞争上，更深层次地反映了不同交通参与者在安全认知、风险感知和行为决策上的差异。</w:t>
      </w:r>
      <w:r>
        <w:rPr>
          <w:rFonts w:hint="eastAsia" w:ascii="Times New Roman" w:hAnsi="Times New Roman" w:cs="Times New Roman"/>
          <w:lang w:val="en-US" w:eastAsia="zh-CN"/>
        </w:rPr>
        <w:t>厘清</w:t>
      </w:r>
      <w:r>
        <w:rPr>
          <w:rFonts w:hint="default" w:ascii="Times New Roman" w:hAnsi="Times New Roman" w:cs="Times New Roman"/>
        </w:rPr>
        <w:t>共享道路冲突主体背后的心理机制，对于制定有效的安全</w:t>
      </w:r>
      <w:r>
        <w:rPr>
          <w:rFonts w:hint="eastAsia" w:ascii="Times New Roman" w:hAnsi="Times New Roman" w:cs="Times New Roman"/>
          <w:lang w:val="en-US" w:eastAsia="zh-CN"/>
        </w:rPr>
        <w:t>引导</w:t>
      </w:r>
      <w:r>
        <w:rPr>
          <w:rFonts w:hint="default" w:ascii="Times New Roman" w:hAnsi="Times New Roman" w:cs="Times New Roman"/>
        </w:rPr>
        <w:t>策略具有重要意义。</w:t>
      </w:r>
    </w:p>
    <w:p w14:paraId="1A336B51">
      <w:pPr>
        <w:pStyle w:val="4"/>
        <w:jc w:val="both"/>
        <w:rPr>
          <w:rFonts w:hint="eastAsia" w:eastAsia="宋体"/>
          <w:lang w:eastAsia="zh-CN"/>
        </w:rPr>
      </w:pPr>
      <w:r>
        <w:rPr>
          <w:rFonts w:hint="eastAsia" w:ascii="Times New Roman" w:hAnsi="Times New Roman" w:cs="Times New Roman"/>
          <w:lang w:eastAsia="zh-CN"/>
        </w:rPr>
        <w:t>本研究旨在深入探究校园共享道路环境中共享道路冲突主体的安全认知形成机制及其对行为意图的作用路径。通过整合计划行为理论、合理行为理论和技术接受模型，构建了一个综合性的理论框架，以期全面揭示</w:t>
      </w:r>
      <w:r>
        <w:rPr>
          <w:rFonts w:hint="eastAsia" w:ascii="Times New Roman" w:hAnsi="Times New Roman" w:cs="Times New Roman"/>
          <w:lang w:val="en-US" w:eastAsia="zh-CN"/>
        </w:rPr>
        <w:t>行人与骑行</w:t>
      </w:r>
      <w:r>
        <w:rPr>
          <w:rFonts w:hint="eastAsia" w:ascii="Times New Roman" w:hAnsi="Times New Roman" w:cs="Times New Roman"/>
          <w:lang w:eastAsia="zh-CN"/>
        </w:rPr>
        <w:t>群体在共享道路空间中的心理决策差异。研究采用问卷调查法收集数据，运用结构方程模型进行多群组比较分析，最终分别建立了行人与骑行者的行为决策模型，为制定差异化的交通安全管理策略提供理论依据。</w:t>
      </w:r>
    </w:p>
    <w:p w14:paraId="3DB6C7D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.1理论框架构建与量表开发</w:t>
      </w:r>
    </w:p>
    <w:p w14:paraId="5DB5C143">
      <w:pPr>
        <w:pStyle w:val="4"/>
        <w:ind w:left="0" w:leftChars="0" w:firstLine="0" w:firstLineChars="0"/>
        <w:rPr>
          <w:rFonts w:hint="eastAsia"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理论要素筛选</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理论要素的筛选是构建有效研究框架的基础性任务。本研究的选择过程历经三个阶段，分别为文献梳理阶段、理论整合阶段和要素确定阶段。在文献梳理阶段，本研究发现：态度（Attitude）出现频率达89.5%，主观规范（Subjective Norm）为76.2%，知觉行为控制（Perceived Behavioral Control）为82.4%，风险感知（Risk Perception）为68.3%</w:t>
      </w:r>
      <w:r>
        <w:rPr>
          <w:rFonts w:hint="eastAsia" w:ascii="Times New Roman" w:hAnsi="Times New Roman" w:cs="Times New Roman"/>
          <w:lang w:val="en-US" w:eastAsia="zh-CN"/>
          <w:vertAlign w:val="superscript"/>
        </w:rPr>
        <w:t xml:space="preserve">[42]</w:t>
      </w:r>
      <w:r>
        <w:rPr>
          <w:rFonts w:hint="eastAsia" w:ascii="Times New Roman" w:hAnsi="Times New Roman" w:cs="Times New Roman"/>
          <w:lang w:val="en-US" w:eastAsia="zh-CN"/>
        </w:rPr>
        <w:t xml:space="preserve">，行为意图（Behavioral Intention）为95.7%。以上高频要素构成了本研究理论框架的基本要素群。</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在理论整合阶段，本研究深入剖析了三个核心理论的贡献。TPB为行为预测提供了基础框架，其包含态度、主观规范、知觉行为控制三要素的模型，已被广泛证实具备良好的预测效能。TRA着重强调了理性决策过程，尤其是态度与规范性信念的形成机制。TAM虽最初应用于技术接受领域</w:t>
      </w:r>
      <w:r>
        <w:rPr>
          <w:rFonts w:hint="eastAsia" w:ascii="Times New Roman" w:hAnsi="Times New Roman" w:cs="Times New Roman"/>
          <w:lang w:val="en-US" w:eastAsia="zh-CN"/>
          <w:vertAlign w:val="superscript"/>
        </w:rPr>
        <w:t xml:space="preserve">[36]</w:t>
      </w:r>
      <w:r>
        <w:rPr>
          <w:rFonts w:hint="eastAsia" w:ascii="Times New Roman" w:hAnsi="Times New Roman" w:cs="Times New Roman"/>
          <w:lang w:val="en-US" w:eastAsia="zh-CN"/>
        </w:rPr>
        <w:t xml:space="preserve">，但其感知有用性（Perceived Usefulness）和感知易用性（Perceived Ease of Use）概念，对于理解交通环境及其相应设施的使用意愿具有重要启示。研究认识到，单一理论难以全面阐释校园共享道路这一特殊情境下的复杂行为，故而决定采用理论整合的方式展开研究。</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此外，基于文献分析与理论整合，本研究初步确定了9个候选要素：安全态度、主观规范、知觉行为控制、感知有用性、感知易用性、风险感知、过往冲突经历、基础设施评价及行为意图。为验证这些要素在校园情境中的适用性，本研究组织了两轮专家咨询。第一轮邀请了5名交通工程和行为心理学领域的教授，运用德尔菲法对各要素的重要性和相关性进行评估。专家们一致认为8个要素均具有较高重要性，但对“基础设施评价”的独立性存在争议。第二轮咨询聚焦于要素间的关系，专家建议将“基础设施评价纳”入感知易用性维度。最终，本研究确定了8个核心要素作为理论模型的构成要素如表13所示。</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表13 高校共享道路交通安全行为要素表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1656"/>
        <w:gridCol w:w="5016"/>
      </w:tblGrid>
      <w:tr w14:paraId="0412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0BE491A9">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序号</w:t>
            </w:r>
          </w:p>
        </w:tc>
        <w:tc>
          <w:tcPr>
            <w:tcW w:w="0" w:type="auto"/>
            <w:tcBorders>
              <w:top w:val="single" w:color="000000" w:sz="4" w:space="0"/>
              <w:left w:val="nil"/>
              <w:bottom w:val="single" w:color="000000" w:sz="12" w:space="0"/>
              <w:right w:val="nil"/>
            </w:tcBorders>
            <w:shd w:val="clear" w:color="auto" w:fill="FFFFFF"/>
            <w:vAlign w:val="center"/>
          </w:tcPr>
          <w:p w14:paraId="11D9D756">
            <w:pPr>
              <w:keepNext w:val="0"/>
              <w:keepLines w:val="0"/>
              <w:widowControl/>
              <w:suppressLineNumbers w:val="0"/>
              <w:jc w:val="center"/>
              <w:rPr>
                <w:rFonts w:hint="default" w:ascii="Times New Roman" w:hAnsi="Times New Roman" w:eastAsia="宋体" w:cs="Times New Roman"/>
                <w:b/>
                <w:bCs/>
                <w:color w:val="000000"/>
                <w:sz w:val="24"/>
                <w:szCs w:val="24"/>
                <w:vertAlign w:val="baseline"/>
                <w:lang w:val="en-US" w:eastAsia="zh-CN"/>
              </w:rPr>
            </w:pPr>
            <w:r>
              <w:rPr>
                <w:rFonts w:hint="default" w:ascii="Times New Roman" w:hAnsi="Times New Roman" w:eastAsia="宋体" w:cs="Times New Roman"/>
                <w:b/>
                <w:bCs/>
                <w:color w:val="000000"/>
                <w:kern w:val="0"/>
                <w:sz w:val="24"/>
                <w:szCs w:val="24"/>
                <w:lang w:val="en-US" w:eastAsia="zh-CN" w:bidi="ar"/>
              </w:rPr>
              <w:t>要素名称</w:t>
            </w:r>
          </w:p>
        </w:tc>
        <w:tc>
          <w:tcPr>
            <w:tcW w:w="0" w:type="auto"/>
            <w:tcBorders>
              <w:top w:val="single" w:color="000000" w:sz="4" w:space="0"/>
              <w:left w:val="nil"/>
              <w:bottom w:val="single" w:color="000000" w:sz="12" w:space="0"/>
              <w:right w:val="nil"/>
            </w:tcBorders>
            <w:shd w:val="clear" w:color="auto" w:fill="FFFFFF"/>
            <w:vAlign w:val="center"/>
          </w:tcPr>
          <w:p w14:paraId="6F89755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要素定义</w:t>
            </w:r>
          </w:p>
        </w:tc>
      </w:tr>
      <w:tr w14:paraId="0BCC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0" w:type="auto"/>
            <w:tcBorders>
              <w:top w:val="single" w:color="000000" w:sz="12" w:space="0"/>
              <w:left w:val="nil"/>
              <w:bottom w:val="nil"/>
              <w:right w:val="nil"/>
            </w:tcBorders>
            <w:shd w:val="clear" w:color="auto" w:fill="FFFFFF"/>
            <w:vAlign w:val="center"/>
          </w:tcPr>
          <w:p w14:paraId="388B25DB">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5B89B416">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安全态度</w:t>
            </w:r>
          </w:p>
        </w:tc>
        <w:tc>
          <w:tcPr>
            <w:tcW w:w="0" w:type="auto"/>
            <w:tcBorders>
              <w:top w:val="single" w:color="000000" w:sz="12" w:space="0"/>
              <w:left w:val="nil"/>
              <w:bottom w:val="nil"/>
              <w:right w:val="nil"/>
            </w:tcBorders>
            <w:shd w:val="clear" w:color="auto" w:fill="FFFFFF"/>
            <w:vAlign w:val="center"/>
          </w:tcPr>
          <w:p w14:paraId="03B4643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个体对交通安全重要性的总体评判</w:t>
            </w:r>
          </w:p>
        </w:tc>
      </w:tr>
      <w:tr w14:paraId="6E4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D904CC">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vAlign w:val="center"/>
          </w:tcPr>
          <w:p w14:paraId="5C8B47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主观规范</w:t>
            </w:r>
          </w:p>
        </w:tc>
        <w:tc>
          <w:tcPr>
            <w:tcW w:w="0" w:type="auto"/>
            <w:tcBorders>
              <w:top w:val="nil"/>
              <w:left w:val="nil"/>
              <w:bottom w:val="nil"/>
              <w:right w:val="nil"/>
            </w:tcBorders>
            <w:shd w:val="clear" w:color="auto" w:fill="FFFFFF"/>
            <w:vAlign w:val="center"/>
          </w:tcPr>
          <w:p w14:paraId="2E9894C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个体所感知到的来自重要他人的行为期望</w:t>
            </w:r>
          </w:p>
        </w:tc>
      </w:tr>
      <w:tr w14:paraId="470F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9441924">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vAlign w:val="center"/>
          </w:tcPr>
          <w:p w14:paraId="79A537B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知觉行为控制</w:t>
            </w:r>
          </w:p>
        </w:tc>
        <w:tc>
          <w:tcPr>
            <w:tcW w:w="0" w:type="auto"/>
            <w:tcBorders>
              <w:top w:val="nil"/>
              <w:left w:val="nil"/>
              <w:bottom w:val="nil"/>
              <w:right w:val="nil"/>
            </w:tcBorders>
            <w:shd w:val="clear" w:color="auto" w:fill="FFFFFF"/>
            <w:vAlign w:val="center"/>
          </w:tcPr>
          <w:p w14:paraId="30B597AF">
            <w:pPr>
              <w:keepNext w:val="0"/>
              <w:keepLines w:val="0"/>
              <w:widowControl/>
              <w:suppressLineNumbers w:val="0"/>
              <w:jc w:val="center"/>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体现个体对执行安全行为的自我效能感</w:t>
            </w:r>
          </w:p>
        </w:tc>
      </w:tr>
      <w:tr w14:paraId="5ACC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CACC7DE">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vAlign w:val="center"/>
          </w:tcPr>
          <w:p w14:paraId="306F9F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感知有用性</w:t>
            </w:r>
          </w:p>
        </w:tc>
        <w:tc>
          <w:tcPr>
            <w:tcW w:w="0" w:type="auto"/>
            <w:tcBorders>
              <w:top w:val="nil"/>
              <w:left w:val="nil"/>
              <w:bottom w:val="nil"/>
              <w:right w:val="nil"/>
            </w:tcBorders>
            <w:shd w:val="clear" w:color="auto" w:fill="FFFFFF"/>
            <w:vAlign w:val="center"/>
          </w:tcPr>
          <w:p w14:paraId="1743465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个体认为遵守交通规则对保障安全的有效程度</w:t>
            </w:r>
          </w:p>
        </w:tc>
      </w:tr>
      <w:tr w14:paraId="0715E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8BD6A14">
            <w:pPr>
              <w:keepNext w:val="0"/>
              <w:keepLines w:val="0"/>
              <w:widowControl/>
              <w:suppressLineNumbers w:val="0"/>
              <w:jc w:val="center"/>
              <w:rPr>
                <w:rFonts w:hint="default" w:ascii="Times New Roman" w:hAnsi="Times New Roman" w:eastAsia="宋体" w:cs="Times New Roman"/>
                <w:b w:val="0"/>
                <w:color w:val="000000"/>
                <w:sz w:val="24"/>
                <w:szCs w:val="24"/>
                <w:vertAlign w:val="baseline"/>
                <w:lang w:val="en-US" w:eastAsia="zh-CN"/>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vAlign w:val="center"/>
          </w:tcPr>
          <w:p w14:paraId="3375096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感知易用性</w:t>
            </w:r>
          </w:p>
        </w:tc>
        <w:tc>
          <w:tcPr>
            <w:tcW w:w="0" w:type="auto"/>
            <w:tcBorders>
              <w:top w:val="nil"/>
              <w:left w:val="nil"/>
              <w:bottom w:val="nil"/>
              <w:right w:val="nil"/>
            </w:tcBorders>
            <w:shd w:val="clear" w:color="auto" w:fill="FFFFFF"/>
            <w:vAlign w:val="center"/>
          </w:tcPr>
          <w:p w14:paraId="0B2A024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个体认为执行安全行为的便利程度</w:t>
            </w:r>
          </w:p>
        </w:tc>
      </w:tr>
      <w:tr w14:paraId="5192E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shd w:val="clear" w:color="auto" w:fill="FFFFFF"/>
            <w:vAlign w:val="center"/>
          </w:tcPr>
          <w:p w14:paraId="390F6F1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vAlign w:val="center"/>
          </w:tcPr>
          <w:p w14:paraId="2939253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风险感知</w:t>
            </w:r>
          </w:p>
        </w:tc>
        <w:tc>
          <w:tcPr>
            <w:tcW w:w="0" w:type="auto"/>
            <w:tcBorders>
              <w:top w:val="nil"/>
              <w:left w:val="nil"/>
              <w:bottom w:val="nil"/>
              <w:right w:val="nil"/>
            </w:tcBorders>
            <w:shd w:val="clear" w:color="auto" w:fill="FFFFFF"/>
            <w:vAlign w:val="center"/>
          </w:tcPr>
          <w:p w14:paraId="09FCD3B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对潜在交通危险的主观评估</w:t>
            </w:r>
          </w:p>
        </w:tc>
      </w:tr>
      <w:tr w14:paraId="56FC8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0E3FFF4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nil"/>
              <w:right w:val="nil"/>
            </w:tcBorders>
            <w:shd w:val="clear" w:color="auto" w:fill="FFFFFF"/>
            <w:vAlign w:val="center"/>
          </w:tcPr>
          <w:p w14:paraId="17224B5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过往冲突经历</w:t>
            </w:r>
          </w:p>
        </w:tc>
        <w:tc>
          <w:tcPr>
            <w:tcW w:w="0" w:type="auto"/>
            <w:tcBorders>
              <w:top w:val="nil"/>
              <w:left w:val="nil"/>
              <w:bottom w:val="nil"/>
              <w:right w:val="nil"/>
            </w:tcBorders>
            <w:shd w:val="clear" w:color="auto" w:fill="FFFFFF"/>
            <w:vAlign w:val="center"/>
          </w:tcPr>
          <w:p w14:paraId="700C494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反映个体的直接或间接事故经验</w:t>
            </w:r>
          </w:p>
        </w:tc>
      </w:tr>
      <w:tr w14:paraId="7829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single" w:color="000000" w:sz="4" w:space="0"/>
              <w:right w:val="nil"/>
            </w:tcBorders>
            <w:shd w:val="clear" w:color="auto" w:fill="FFFFFF"/>
            <w:vAlign w:val="center"/>
          </w:tcPr>
          <w:p w14:paraId="1B09099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8</w:t>
            </w:r>
          </w:p>
        </w:tc>
        <w:tc>
          <w:tcPr>
            <w:tcW w:w="0" w:type="auto"/>
            <w:tcBorders>
              <w:top w:val="nil"/>
              <w:left w:val="nil"/>
              <w:bottom w:val="single" w:color="000000" w:sz="4" w:space="0"/>
              <w:right w:val="nil"/>
            </w:tcBorders>
            <w:shd w:val="clear" w:color="auto" w:fill="FFFFFF"/>
            <w:vAlign w:val="center"/>
          </w:tcPr>
          <w:p w14:paraId="0BD180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行为意图</w:t>
            </w:r>
          </w:p>
        </w:tc>
        <w:tc>
          <w:tcPr>
            <w:tcW w:w="0" w:type="auto"/>
            <w:tcBorders>
              <w:top w:val="nil"/>
              <w:left w:val="nil"/>
              <w:bottom w:val="single" w:color="000000" w:sz="4" w:space="0"/>
              <w:right w:val="nil"/>
            </w:tcBorders>
            <w:shd w:val="clear" w:color="auto" w:fill="FFFFFF"/>
            <w:vAlign w:val="center"/>
          </w:tcPr>
          <w:p w14:paraId="586A4F2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作为因变量用于预测实际行为</w:t>
            </w:r>
          </w:p>
        </w:tc>
      </w:tr>
    </w:tbl>
    <w:p w14:paraId="29E38564">
      <w:pPr>
        <w:pStyle w:val="4"/>
        <w:jc w:val="both"/>
        <w:rPr>
          <w:rFonts w:hint="eastAsia" w:ascii="Times New Roman" w:hAnsi="Times New Roman" w:cs="Times New Roman"/>
          <w:lang w:val="en-US" w:eastAsia="zh-CN"/>
        </w:rPr>
      </w:pPr>
    </w:p>
    <w:p w14:paraId="29984388">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研究量表开发</w:t>
      </w:r>
    </w:p>
    <w:p w14:paraId="62CD1E19">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量表构建遵循了严谨的心理测量学程序。首先，本研究从已发表的学术研究论文中提取经检验的测量项目，共计获取52个题项。其次，本研究还通过对30名校园交通参与者开展深度访谈，提炼反映参与高校共享道路交通中行人与骑行者的问题与需求，如“在急于上课的情况下更易忽略交通规则”“食堂门口人车混行的状况使我产生危险感”等，新增38个题项。再次，本研究还基于现有理论研究推导出必要的测量内容，并以此补充15个题项。综上，初始项目池总计包含105个题项。</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降低研究过程中受试用户的心理认知负荷，本研究利用定性与定量相结合的方法对题项进行筛选。在定性筛选阶段，邀请了10位研究专家对项目的语言表达进行评估，剔除了表述模糊、存在歧义或过于复杂的项目23个；邀请了5位目标群体展开访谈，并据此对18个项目的措辞进行了修改，同时将语义高度重叠的题项予以合并，合并后减少12个。同时，本研究对10位专家进行了问卷调研，以利用定量数据进行筛选，题项筛选采用以下标准：（1）删除因子载荷小于0.50的项目，共计20个；（2）删除存在严重“天花板”或“地板”效应（即超过80%的被试选择同一选项）的项目，共计4个；（3）删除若剔除该项目后Cronbach'sα显著提升的项目，共计3个。经上述各环节筛选，题项由初始的105个精简至43个。最终量表采用Likert 7点计分法（1代表完全不同意，7代表完全同意），旨在提供更精细的区分度。各维度的题项分布如表14所示。整个问卷共包含43个核心题项，另外设置了6个人口统计学题项，总计49题。</w:t>
      </w:r>
    </w:p>
    <w:p w14:paraId="1EAFCC03">
      <w:pPr>
        <w:pStyle w:val="4"/>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高校共享道路交通安全行为研究要素及其编码</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076D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blHeader/>
          <w:jc w:val="center"/>
        </w:trPr>
        <w:tc>
          <w:tcPr>
            <w:tcW w:w="2145" w:type="dxa"/>
            <w:tcBorders>
              <w:top w:val="single" w:color="000000" w:sz="4" w:space="0"/>
              <w:left w:val="nil"/>
              <w:bottom w:val="single" w:color="000000" w:sz="12" w:space="0"/>
              <w:right w:val="nil"/>
            </w:tcBorders>
            <w:shd w:val="clear" w:color="auto" w:fill="FFFFFF"/>
            <w:noWrap/>
            <w:vAlign w:val="center"/>
          </w:tcPr>
          <w:p w14:paraId="1F0306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维度</w:t>
            </w:r>
          </w:p>
        </w:tc>
        <w:tc>
          <w:tcPr>
            <w:tcW w:w="1361" w:type="dxa"/>
            <w:tcBorders>
              <w:top w:val="single" w:color="000000" w:sz="4" w:space="0"/>
              <w:left w:val="nil"/>
              <w:bottom w:val="single" w:color="000000" w:sz="12" w:space="0"/>
              <w:right w:val="nil"/>
            </w:tcBorders>
            <w:shd w:val="clear" w:color="auto" w:fill="FFFFFF"/>
            <w:noWrap/>
            <w:vAlign w:val="center"/>
          </w:tcPr>
          <w:p w14:paraId="293CB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题项编码</w:t>
            </w:r>
          </w:p>
        </w:tc>
        <w:tc>
          <w:tcPr>
            <w:tcW w:w="5137" w:type="dxa"/>
            <w:tcBorders>
              <w:top w:val="single" w:color="000000" w:sz="4" w:space="0"/>
              <w:left w:val="nil"/>
              <w:bottom w:val="single" w:color="000000" w:sz="12" w:space="0"/>
              <w:right w:val="nil"/>
            </w:tcBorders>
            <w:shd w:val="clear" w:color="auto" w:fill="FFFFFF"/>
            <w:noWrap/>
            <w:vAlign w:val="center"/>
          </w:tcPr>
          <w:p w14:paraId="4B758C5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题项内容</w:t>
            </w:r>
          </w:p>
        </w:tc>
      </w:tr>
      <w:tr w14:paraId="20C77C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12" w:space="0"/>
              <w:left w:val="nil"/>
              <w:right w:val="nil"/>
            </w:tcBorders>
            <w:shd w:val="clear" w:color="auto" w:fill="FFFFFF"/>
            <w:noWrap/>
            <w:vAlign w:val="center"/>
          </w:tcPr>
          <w:p w14:paraId="02D7DE4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安全态度</w:t>
            </w:r>
          </w:p>
          <w:p w14:paraId="4A9621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Attitude</w:t>
            </w:r>
          </w:p>
        </w:tc>
        <w:tc>
          <w:tcPr>
            <w:tcW w:w="1361" w:type="dxa"/>
            <w:tcBorders>
              <w:top w:val="single" w:color="000000" w:sz="12" w:space="0"/>
              <w:left w:val="nil"/>
              <w:bottom w:val="nil"/>
              <w:right w:val="nil"/>
            </w:tcBorders>
            <w:shd w:val="clear" w:color="auto" w:fill="FFFFFF"/>
            <w:noWrap/>
            <w:vAlign w:val="center"/>
          </w:tcPr>
          <w:p w14:paraId="1EBA3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AT1</w:t>
            </w:r>
          </w:p>
        </w:tc>
        <w:tc>
          <w:tcPr>
            <w:tcW w:w="5137" w:type="dxa"/>
            <w:tcBorders>
              <w:top w:val="single" w:color="000000" w:sz="12" w:space="0"/>
              <w:left w:val="nil"/>
              <w:bottom w:val="nil"/>
              <w:right w:val="nil"/>
            </w:tcBorders>
            <w:shd w:val="clear" w:color="auto" w:fill="FFFFFF"/>
            <w:noWrap/>
            <w:vAlign w:val="center"/>
          </w:tcPr>
          <w:p w14:paraId="5C7C2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我认为遵守交通规则是每个人的责任</w:t>
            </w:r>
          </w:p>
        </w:tc>
      </w:tr>
      <w:tr w14:paraId="12291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9523C6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0CB17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AT2</w:t>
            </w:r>
          </w:p>
        </w:tc>
        <w:tc>
          <w:tcPr>
            <w:tcW w:w="5137" w:type="dxa"/>
            <w:tcBorders>
              <w:top w:val="nil"/>
              <w:left w:val="nil"/>
              <w:bottom w:val="nil"/>
              <w:right w:val="nil"/>
            </w:tcBorders>
            <w:shd w:val="clear" w:color="auto" w:fill="FFFFFF"/>
            <w:noWrap/>
            <w:vAlign w:val="center"/>
          </w:tcPr>
          <w:p w14:paraId="55F2B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即使赶时间，安全仍是我的首要考虑</w:t>
            </w:r>
          </w:p>
        </w:tc>
      </w:tr>
      <w:tr w14:paraId="49F77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9" w:hRule="atLeast"/>
          <w:tblHeader/>
          <w:jc w:val="center"/>
        </w:trPr>
        <w:tc>
          <w:tcPr>
            <w:tcW w:w="2145" w:type="dxa"/>
            <w:vMerge w:val="continue"/>
            <w:tcBorders>
              <w:left w:val="nil"/>
              <w:right w:val="nil"/>
            </w:tcBorders>
            <w:shd w:val="clear" w:color="auto" w:fill="FFFFFF"/>
            <w:noWrap/>
            <w:vAlign w:val="center"/>
          </w:tcPr>
          <w:p w14:paraId="1EE5CA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15351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AT3</w:t>
            </w:r>
          </w:p>
        </w:tc>
        <w:tc>
          <w:tcPr>
            <w:tcW w:w="5137" w:type="dxa"/>
            <w:tcBorders>
              <w:top w:val="nil"/>
              <w:left w:val="nil"/>
              <w:bottom w:val="nil"/>
              <w:right w:val="nil"/>
            </w:tcBorders>
            <w:shd w:val="clear" w:color="auto" w:fill="FFFFFF"/>
            <w:noWrap/>
            <w:vAlign w:val="center"/>
          </w:tcPr>
          <w:p w14:paraId="3CCD5B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我愿意为了安全牺牲一些便利</w:t>
            </w:r>
          </w:p>
        </w:tc>
      </w:tr>
      <w:tr w14:paraId="37F49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A5C2C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7C088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AT4</w:t>
            </w:r>
          </w:p>
        </w:tc>
        <w:tc>
          <w:tcPr>
            <w:tcW w:w="5137" w:type="dxa"/>
            <w:tcBorders>
              <w:top w:val="nil"/>
              <w:left w:val="nil"/>
              <w:bottom w:val="nil"/>
              <w:right w:val="nil"/>
            </w:tcBorders>
            <w:shd w:val="clear" w:color="auto" w:fill="FFFFFF"/>
            <w:noWrap/>
            <w:vAlign w:val="center"/>
          </w:tcPr>
          <w:p w14:paraId="7CD48C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交通安全比出行效率更重要</w:t>
            </w:r>
          </w:p>
        </w:tc>
      </w:tr>
      <w:tr w14:paraId="0B220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B0CA6E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FD789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AT5</w:t>
            </w:r>
          </w:p>
        </w:tc>
        <w:tc>
          <w:tcPr>
            <w:tcW w:w="5137" w:type="dxa"/>
            <w:tcBorders>
              <w:top w:val="nil"/>
              <w:left w:val="nil"/>
              <w:bottom w:val="nil"/>
              <w:right w:val="nil"/>
            </w:tcBorders>
            <w:shd w:val="clear" w:color="auto" w:fill="FFFFFF"/>
            <w:noWrap/>
            <w:vAlign w:val="center"/>
          </w:tcPr>
          <w:p w14:paraId="5678FE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看到他人违规我会感到担忧</w:t>
            </w:r>
          </w:p>
        </w:tc>
      </w:tr>
      <w:tr w14:paraId="36EA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D177CB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5AD3AE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AT6</w:t>
            </w:r>
          </w:p>
        </w:tc>
        <w:tc>
          <w:tcPr>
            <w:tcW w:w="5137" w:type="dxa"/>
            <w:tcBorders>
              <w:top w:val="nil"/>
              <w:left w:val="nil"/>
              <w:bottom w:val="single" w:color="000000" w:sz="4" w:space="0"/>
              <w:right w:val="nil"/>
            </w:tcBorders>
            <w:shd w:val="clear" w:color="auto" w:fill="FFFFFF"/>
            <w:noWrap/>
            <w:vAlign w:val="center"/>
          </w:tcPr>
          <w:p w14:paraId="5D7802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我认为安全意识应该成为校园文化的一部分</w:t>
            </w:r>
          </w:p>
        </w:tc>
      </w:tr>
      <w:tr w14:paraId="7177F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DD2D7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主观规范</w:t>
            </w:r>
          </w:p>
          <w:p w14:paraId="5F14491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Subjective Norms</w:t>
            </w:r>
          </w:p>
        </w:tc>
        <w:tc>
          <w:tcPr>
            <w:tcW w:w="1361" w:type="dxa"/>
            <w:tcBorders>
              <w:top w:val="single" w:color="000000" w:sz="4" w:space="0"/>
              <w:left w:val="nil"/>
              <w:bottom w:val="nil"/>
              <w:right w:val="nil"/>
            </w:tcBorders>
            <w:shd w:val="clear" w:color="auto" w:fill="FFFFFF"/>
            <w:noWrap/>
            <w:vAlign w:val="center"/>
          </w:tcPr>
          <w:p w14:paraId="20ED1B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SN1</w:t>
            </w:r>
          </w:p>
        </w:tc>
        <w:tc>
          <w:tcPr>
            <w:tcW w:w="5137" w:type="dxa"/>
            <w:tcBorders>
              <w:top w:val="single" w:color="000000" w:sz="4" w:space="0"/>
              <w:left w:val="nil"/>
              <w:bottom w:val="nil"/>
              <w:right w:val="nil"/>
            </w:tcBorders>
            <w:shd w:val="clear" w:color="auto" w:fill="FFFFFF"/>
            <w:noWrap/>
            <w:vAlign w:val="center"/>
          </w:tcPr>
          <w:p w14:paraId="7B271D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我的朋友都很注意交通安全</w:t>
            </w:r>
          </w:p>
        </w:tc>
      </w:tr>
      <w:tr w14:paraId="61B7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D4D06B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27EF2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SN2</w:t>
            </w:r>
          </w:p>
        </w:tc>
        <w:tc>
          <w:tcPr>
            <w:tcW w:w="5137" w:type="dxa"/>
            <w:tcBorders>
              <w:top w:val="nil"/>
              <w:left w:val="nil"/>
              <w:bottom w:val="nil"/>
              <w:right w:val="nil"/>
            </w:tcBorders>
            <w:shd w:val="clear" w:color="auto" w:fill="FFFFFF"/>
            <w:noWrap/>
            <w:vAlign w:val="center"/>
          </w:tcPr>
          <w:p w14:paraId="281C3E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老师会提醒我们注意交通安全</w:t>
            </w:r>
          </w:p>
        </w:tc>
      </w:tr>
      <w:tr w14:paraId="19BE4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F2F1AD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22388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SN3</w:t>
            </w:r>
          </w:p>
        </w:tc>
        <w:tc>
          <w:tcPr>
            <w:tcW w:w="5137" w:type="dxa"/>
            <w:tcBorders>
              <w:top w:val="nil"/>
              <w:left w:val="nil"/>
              <w:bottom w:val="nil"/>
              <w:right w:val="nil"/>
            </w:tcBorders>
            <w:shd w:val="clear" w:color="auto" w:fill="FFFFFF"/>
            <w:noWrap/>
            <w:vAlign w:val="center"/>
          </w:tcPr>
          <w:p w14:paraId="160422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如果违反交通规则，我会感到愧疚</w:t>
            </w:r>
          </w:p>
        </w:tc>
      </w:tr>
      <w:tr w14:paraId="48E51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12" w:hRule="atLeast"/>
          <w:tblHeader/>
          <w:jc w:val="center"/>
        </w:trPr>
        <w:tc>
          <w:tcPr>
            <w:tcW w:w="2145" w:type="dxa"/>
            <w:vMerge w:val="continue"/>
            <w:tcBorders>
              <w:left w:val="nil"/>
              <w:right w:val="nil"/>
            </w:tcBorders>
            <w:shd w:val="clear" w:color="auto" w:fill="FFFFFF"/>
            <w:noWrap/>
            <w:vAlign w:val="center"/>
          </w:tcPr>
          <w:p w14:paraId="73CAB76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F9209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SN4</w:t>
            </w:r>
          </w:p>
        </w:tc>
        <w:tc>
          <w:tcPr>
            <w:tcW w:w="5137" w:type="dxa"/>
            <w:tcBorders>
              <w:top w:val="nil"/>
              <w:left w:val="nil"/>
              <w:bottom w:val="nil"/>
              <w:right w:val="nil"/>
            </w:tcBorders>
            <w:shd w:val="clear" w:color="auto" w:fill="FFFFFF"/>
            <w:noWrap/>
            <w:vAlign w:val="center"/>
          </w:tcPr>
          <w:p w14:paraId="73C628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家人期望我在校园内安全出行</w:t>
            </w:r>
          </w:p>
        </w:tc>
      </w:tr>
      <w:tr w14:paraId="0D3F6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4042027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E88942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SN5</w:t>
            </w:r>
          </w:p>
        </w:tc>
        <w:tc>
          <w:tcPr>
            <w:tcW w:w="5137" w:type="dxa"/>
            <w:tcBorders>
              <w:top w:val="nil"/>
              <w:left w:val="nil"/>
              <w:bottom w:val="single" w:color="000000" w:sz="4" w:space="0"/>
              <w:right w:val="nil"/>
            </w:tcBorders>
            <w:shd w:val="clear" w:color="auto" w:fill="FFFFFF"/>
            <w:noWrap/>
            <w:vAlign w:val="center"/>
          </w:tcPr>
          <w:p w14:paraId="0FCA5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身边的人都认为遵守交通规则很重要</w:t>
            </w:r>
          </w:p>
        </w:tc>
      </w:tr>
      <w:tr w14:paraId="6FE0F9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BED00E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知觉行为控制</w:t>
            </w:r>
          </w:p>
          <w:p w14:paraId="74FA0B5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Behavioral Control</w:t>
            </w:r>
          </w:p>
        </w:tc>
        <w:tc>
          <w:tcPr>
            <w:tcW w:w="1361" w:type="dxa"/>
            <w:tcBorders>
              <w:top w:val="single" w:color="000000" w:sz="4" w:space="0"/>
              <w:left w:val="nil"/>
              <w:bottom w:val="nil"/>
              <w:right w:val="nil"/>
            </w:tcBorders>
            <w:shd w:val="clear" w:color="auto" w:fill="FFFFFF"/>
            <w:noWrap/>
            <w:vAlign w:val="center"/>
          </w:tcPr>
          <w:p w14:paraId="4D8D8E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PBC1</w:t>
            </w:r>
          </w:p>
        </w:tc>
        <w:tc>
          <w:tcPr>
            <w:tcW w:w="5137" w:type="dxa"/>
            <w:tcBorders>
              <w:top w:val="single" w:color="000000" w:sz="4" w:space="0"/>
              <w:left w:val="nil"/>
              <w:bottom w:val="nil"/>
              <w:right w:val="nil"/>
            </w:tcBorders>
            <w:shd w:val="clear" w:color="auto" w:fill="FFFFFF"/>
            <w:noWrap/>
            <w:vAlign w:val="center"/>
          </w:tcPr>
          <w:p w14:paraId="05AC51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我有能力避免交通冲突</w:t>
            </w:r>
          </w:p>
        </w:tc>
      </w:tr>
      <w:tr w14:paraId="0F316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D3F73A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9DB14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PBC2</w:t>
            </w:r>
          </w:p>
        </w:tc>
        <w:tc>
          <w:tcPr>
            <w:tcW w:w="5137" w:type="dxa"/>
            <w:tcBorders>
              <w:top w:val="nil"/>
              <w:left w:val="nil"/>
              <w:bottom w:val="nil"/>
              <w:right w:val="nil"/>
            </w:tcBorders>
            <w:shd w:val="clear" w:color="auto" w:fill="FFFFFF"/>
            <w:noWrap/>
            <w:vAlign w:val="center"/>
          </w:tcPr>
          <w:p w14:paraId="64C54EB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在复杂路况下我也能保证安全</w:t>
            </w:r>
          </w:p>
        </w:tc>
      </w:tr>
      <w:tr w14:paraId="46E86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925BE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1354D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PBC3</w:t>
            </w:r>
          </w:p>
        </w:tc>
        <w:tc>
          <w:tcPr>
            <w:tcW w:w="5137" w:type="dxa"/>
            <w:tcBorders>
              <w:top w:val="nil"/>
              <w:left w:val="nil"/>
              <w:bottom w:val="nil"/>
              <w:right w:val="nil"/>
            </w:tcBorders>
            <w:shd w:val="clear" w:color="auto" w:fill="FFFFFF"/>
            <w:noWrap/>
            <w:vAlign w:val="center"/>
          </w:tcPr>
          <w:p w14:paraId="2B6B6D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遵守交通规则对我来说很容易</w:t>
            </w:r>
          </w:p>
        </w:tc>
      </w:tr>
      <w:tr w14:paraId="6174E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78A4B7B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A0801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PBC4</w:t>
            </w:r>
          </w:p>
        </w:tc>
        <w:tc>
          <w:tcPr>
            <w:tcW w:w="5137" w:type="dxa"/>
            <w:tcBorders>
              <w:top w:val="nil"/>
              <w:left w:val="nil"/>
              <w:bottom w:val="nil"/>
              <w:right w:val="nil"/>
            </w:tcBorders>
            <w:shd w:val="clear" w:color="auto" w:fill="FFFFFF"/>
            <w:noWrap/>
            <w:vAlign w:val="center"/>
          </w:tcPr>
          <w:p w14:paraId="227377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我能够准确判断交通状况的危险程度</w:t>
            </w:r>
          </w:p>
        </w:tc>
      </w:tr>
      <w:tr w14:paraId="6AC53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9E3A54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68316A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PBC5</w:t>
            </w:r>
          </w:p>
        </w:tc>
        <w:tc>
          <w:tcPr>
            <w:tcW w:w="5137" w:type="dxa"/>
            <w:tcBorders>
              <w:top w:val="nil"/>
              <w:left w:val="nil"/>
              <w:bottom w:val="nil"/>
              <w:right w:val="nil"/>
            </w:tcBorders>
            <w:shd w:val="clear" w:color="auto" w:fill="FFFFFF"/>
            <w:noWrap/>
            <w:vAlign w:val="center"/>
          </w:tcPr>
          <w:p w14:paraId="140B6F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即使在人多的时候，我也能安全通行</w:t>
            </w:r>
          </w:p>
        </w:tc>
      </w:tr>
      <w:tr w14:paraId="53EB8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6D1B6EB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12A28E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PBC6</w:t>
            </w:r>
          </w:p>
        </w:tc>
        <w:tc>
          <w:tcPr>
            <w:tcW w:w="5137" w:type="dxa"/>
            <w:tcBorders>
              <w:top w:val="nil"/>
              <w:left w:val="nil"/>
              <w:bottom w:val="single" w:color="000000" w:sz="4" w:space="0"/>
              <w:right w:val="nil"/>
            </w:tcBorders>
            <w:shd w:val="clear" w:color="auto" w:fill="FFFFFF"/>
            <w:noWrap/>
            <w:vAlign w:val="center"/>
          </w:tcPr>
          <w:p w14:paraId="68348B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我完全能够控制自己的出行安全</w:t>
            </w:r>
          </w:p>
        </w:tc>
      </w:tr>
      <w:tr w14:paraId="1EA4C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57EFB99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感知有用性</w:t>
            </w:r>
          </w:p>
          <w:p w14:paraId="005E6B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Usefulness</w:t>
            </w:r>
          </w:p>
        </w:tc>
        <w:tc>
          <w:tcPr>
            <w:tcW w:w="1361" w:type="dxa"/>
            <w:tcBorders>
              <w:top w:val="single" w:color="000000" w:sz="4" w:space="0"/>
              <w:left w:val="nil"/>
              <w:bottom w:val="nil"/>
              <w:right w:val="nil"/>
            </w:tcBorders>
            <w:shd w:val="clear" w:color="auto" w:fill="FFFFFF"/>
            <w:noWrap/>
            <w:vAlign w:val="center"/>
          </w:tcPr>
          <w:p w14:paraId="34E6D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PU1</w:t>
            </w:r>
          </w:p>
        </w:tc>
        <w:tc>
          <w:tcPr>
            <w:tcW w:w="5137" w:type="dxa"/>
            <w:tcBorders>
              <w:top w:val="single" w:color="000000" w:sz="4" w:space="0"/>
              <w:left w:val="nil"/>
              <w:bottom w:val="nil"/>
              <w:right w:val="nil"/>
            </w:tcBorders>
            <w:shd w:val="clear" w:color="auto" w:fill="FFFFFF"/>
            <w:noWrap/>
            <w:vAlign w:val="center"/>
          </w:tcPr>
          <w:p w14:paraId="684577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遵守交通规则能有效避免事故</w:t>
            </w:r>
          </w:p>
        </w:tc>
      </w:tr>
      <w:tr w14:paraId="08C7D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4E7CB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C8B4B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PU2</w:t>
            </w:r>
          </w:p>
        </w:tc>
        <w:tc>
          <w:tcPr>
            <w:tcW w:w="5137" w:type="dxa"/>
            <w:tcBorders>
              <w:top w:val="nil"/>
              <w:left w:val="nil"/>
              <w:bottom w:val="nil"/>
              <w:right w:val="nil"/>
            </w:tcBorders>
            <w:shd w:val="clear" w:color="auto" w:fill="FFFFFF"/>
            <w:noWrap/>
            <w:vAlign w:val="center"/>
          </w:tcPr>
          <w:p w14:paraId="0F7D7F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按规定路线行走/骑行更安全</w:t>
            </w:r>
          </w:p>
        </w:tc>
      </w:tr>
      <w:tr w14:paraId="70FFE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CF8D44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7862B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PU3</w:t>
            </w:r>
          </w:p>
        </w:tc>
        <w:tc>
          <w:tcPr>
            <w:tcW w:w="5137" w:type="dxa"/>
            <w:tcBorders>
              <w:top w:val="nil"/>
              <w:left w:val="nil"/>
              <w:bottom w:val="nil"/>
              <w:right w:val="nil"/>
            </w:tcBorders>
            <w:shd w:val="clear" w:color="auto" w:fill="FFFFFF"/>
            <w:noWrap/>
            <w:vAlign w:val="center"/>
          </w:tcPr>
          <w:p w14:paraId="78791F1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使用安全设施能显著降低风险</w:t>
            </w:r>
          </w:p>
        </w:tc>
      </w:tr>
      <w:tr w14:paraId="42FC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421BAE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E3C22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PU4</w:t>
            </w:r>
          </w:p>
        </w:tc>
        <w:tc>
          <w:tcPr>
            <w:tcW w:w="5137" w:type="dxa"/>
            <w:tcBorders>
              <w:top w:val="nil"/>
              <w:left w:val="nil"/>
              <w:bottom w:val="nil"/>
              <w:right w:val="nil"/>
            </w:tcBorders>
            <w:shd w:val="clear" w:color="auto" w:fill="FFFFFF"/>
            <w:noWrap/>
            <w:vAlign w:val="center"/>
          </w:tcPr>
          <w:p w14:paraId="6DF16E2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谨慎的交通行为能保护自己和他人</w:t>
            </w:r>
          </w:p>
        </w:tc>
      </w:tr>
      <w:tr w14:paraId="484DF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39F0A4E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3870D5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PU5</w:t>
            </w:r>
          </w:p>
        </w:tc>
        <w:tc>
          <w:tcPr>
            <w:tcW w:w="5137" w:type="dxa"/>
            <w:tcBorders>
              <w:top w:val="nil"/>
              <w:left w:val="nil"/>
              <w:bottom w:val="single" w:color="000000" w:sz="4" w:space="0"/>
              <w:right w:val="nil"/>
            </w:tcBorders>
            <w:shd w:val="clear" w:color="auto" w:fill="FFFFFF"/>
            <w:noWrap/>
            <w:vAlign w:val="center"/>
          </w:tcPr>
          <w:p w14:paraId="06F010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遵守限速规定能有效预防事故</w:t>
            </w:r>
          </w:p>
        </w:tc>
      </w:tr>
      <w:tr w14:paraId="6381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074151A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感知易用性</w:t>
            </w:r>
          </w:p>
          <w:p w14:paraId="0B48DCD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Perceived Ease of Use</w:t>
            </w:r>
          </w:p>
        </w:tc>
        <w:tc>
          <w:tcPr>
            <w:tcW w:w="1361" w:type="dxa"/>
            <w:tcBorders>
              <w:top w:val="single" w:color="000000" w:sz="4" w:space="0"/>
              <w:left w:val="nil"/>
              <w:bottom w:val="nil"/>
              <w:right w:val="nil"/>
            </w:tcBorders>
            <w:shd w:val="clear" w:color="auto" w:fill="FFFFFF"/>
            <w:noWrap/>
            <w:vAlign w:val="center"/>
          </w:tcPr>
          <w:p w14:paraId="1C6FF1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PEU1</w:t>
            </w:r>
          </w:p>
        </w:tc>
        <w:tc>
          <w:tcPr>
            <w:tcW w:w="5137" w:type="dxa"/>
            <w:tcBorders>
              <w:top w:val="single" w:color="000000" w:sz="4" w:space="0"/>
              <w:left w:val="nil"/>
              <w:bottom w:val="nil"/>
              <w:right w:val="nil"/>
            </w:tcBorders>
            <w:shd w:val="clear" w:color="auto" w:fill="FFFFFF"/>
            <w:noWrap/>
            <w:vAlign w:val="center"/>
          </w:tcPr>
          <w:p w14:paraId="4D23EEF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校园交通标识清晰易懂</w:t>
            </w:r>
          </w:p>
        </w:tc>
      </w:tr>
      <w:tr w14:paraId="1F045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E3F72B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2C5FB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PEU2</w:t>
            </w:r>
          </w:p>
        </w:tc>
        <w:tc>
          <w:tcPr>
            <w:tcW w:w="5137" w:type="dxa"/>
            <w:tcBorders>
              <w:top w:val="nil"/>
              <w:left w:val="nil"/>
              <w:bottom w:val="nil"/>
              <w:right w:val="nil"/>
            </w:tcBorders>
            <w:shd w:val="clear" w:color="auto" w:fill="FFFFFF"/>
            <w:noWrap/>
            <w:vAlign w:val="center"/>
          </w:tcPr>
          <w:p w14:paraId="6736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现有设施方便我安全出行</w:t>
            </w:r>
          </w:p>
        </w:tc>
      </w:tr>
      <w:tr w14:paraId="0AB40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54DF10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B8B7E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PEU3</w:t>
            </w:r>
          </w:p>
        </w:tc>
        <w:tc>
          <w:tcPr>
            <w:tcW w:w="5137" w:type="dxa"/>
            <w:tcBorders>
              <w:top w:val="nil"/>
              <w:left w:val="nil"/>
              <w:bottom w:val="nil"/>
              <w:right w:val="nil"/>
            </w:tcBorders>
            <w:shd w:val="clear" w:color="auto" w:fill="FFFFFF"/>
            <w:noWrap/>
            <w:vAlign w:val="center"/>
          </w:tcPr>
          <w:p w14:paraId="64F552A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校园道路设计合理，易于通行</w:t>
            </w:r>
          </w:p>
        </w:tc>
      </w:tr>
      <w:tr w14:paraId="52C4A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1D00F22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F02B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PEU4</w:t>
            </w:r>
          </w:p>
        </w:tc>
        <w:tc>
          <w:tcPr>
            <w:tcW w:w="5137" w:type="dxa"/>
            <w:tcBorders>
              <w:top w:val="nil"/>
              <w:left w:val="nil"/>
              <w:bottom w:val="nil"/>
              <w:right w:val="nil"/>
            </w:tcBorders>
            <w:shd w:val="clear" w:color="auto" w:fill="FFFFFF"/>
            <w:noWrap/>
            <w:vAlign w:val="center"/>
          </w:tcPr>
          <w:p w14:paraId="66FD2A9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交通规则简单明了，容易遵守</w:t>
            </w:r>
          </w:p>
        </w:tc>
      </w:tr>
      <w:tr w14:paraId="468B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0942E4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05BBE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PEU5</w:t>
            </w:r>
          </w:p>
        </w:tc>
        <w:tc>
          <w:tcPr>
            <w:tcW w:w="5137" w:type="dxa"/>
            <w:tcBorders>
              <w:top w:val="nil"/>
              <w:left w:val="nil"/>
              <w:bottom w:val="single" w:color="000000" w:sz="4" w:space="0"/>
              <w:right w:val="nil"/>
            </w:tcBorders>
            <w:shd w:val="clear" w:color="auto" w:fill="FFFFFF"/>
            <w:noWrap/>
            <w:vAlign w:val="center"/>
          </w:tcPr>
          <w:p w14:paraId="4E42AC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获取交通安全信息很方便</w:t>
            </w:r>
          </w:p>
        </w:tc>
      </w:tr>
      <w:tr w14:paraId="4DFC6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B93733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风险感知</w:t>
            </w:r>
          </w:p>
          <w:p w14:paraId="4D7963C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Risk Perception</w:t>
            </w:r>
          </w:p>
        </w:tc>
        <w:tc>
          <w:tcPr>
            <w:tcW w:w="1361" w:type="dxa"/>
            <w:tcBorders>
              <w:top w:val="single" w:color="000000" w:sz="4" w:space="0"/>
              <w:left w:val="nil"/>
              <w:bottom w:val="nil"/>
              <w:right w:val="nil"/>
            </w:tcBorders>
            <w:shd w:val="clear" w:color="auto" w:fill="FFFFFF"/>
            <w:noWrap/>
            <w:vAlign w:val="center"/>
          </w:tcPr>
          <w:p w14:paraId="191036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RP1</w:t>
            </w:r>
          </w:p>
        </w:tc>
        <w:tc>
          <w:tcPr>
            <w:tcW w:w="5137" w:type="dxa"/>
            <w:tcBorders>
              <w:top w:val="single" w:color="000000" w:sz="4" w:space="0"/>
              <w:left w:val="nil"/>
              <w:bottom w:val="nil"/>
              <w:right w:val="nil"/>
            </w:tcBorders>
            <w:shd w:val="clear" w:color="auto" w:fill="FFFFFF"/>
            <w:noWrap/>
            <w:vAlign w:val="center"/>
          </w:tcPr>
          <w:p w14:paraId="4D0327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我经常感到校园道路不够安全</w:t>
            </w:r>
          </w:p>
        </w:tc>
      </w:tr>
      <w:tr w14:paraId="14D526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5CB3B6C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8C61F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RP2</w:t>
            </w:r>
          </w:p>
        </w:tc>
        <w:tc>
          <w:tcPr>
            <w:tcW w:w="5137" w:type="dxa"/>
            <w:tcBorders>
              <w:top w:val="nil"/>
              <w:left w:val="nil"/>
              <w:bottom w:val="nil"/>
              <w:right w:val="nil"/>
            </w:tcBorders>
            <w:shd w:val="clear" w:color="auto" w:fill="FFFFFF"/>
            <w:noWrap/>
            <w:vAlign w:val="center"/>
          </w:tcPr>
          <w:p w14:paraId="238A7F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人车混行路段让我很担心</w:t>
            </w:r>
          </w:p>
        </w:tc>
      </w:tr>
      <w:tr w14:paraId="6A7A6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5535A0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1073B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RP3</w:t>
            </w:r>
          </w:p>
        </w:tc>
        <w:tc>
          <w:tcPr>
            <w:tcW w:w="5137" w:type="dxa"/>
            <w:tcBorders>
              <w:top w:val="nil"/>
              <w:left w:val="nil"/>
              <w:bottom w:val="nil"/>
              <w:right w:val="nil"/>
            </w:tcBorders>
            <w:shd w:val="clear" w:color="auto" w:fill="FFFFFF"/>
            <w:noWrap/>
            <w:vAlign w:val="center"/>
          </w:tcPr>
          <w:p w14:paraId="32FD27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高峰时段的交通状况让我感到危险</w:t>
            </w:r>
          </w:p>
        </w:tc>
      </w:tr>
      <w:tr w14:paraId="0568D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30D6819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8A62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RP4</w:t>
            </w:r>
          </w:p>
        </w:tc>
        <w:tc>
          <w:tcPr>
            <w:tcW w:w="5137" w:type="dxa"/>
            <w:tcBorders>
              <w:top w:val="nil"/>
              <w:left w:val="nil"/>
              <w:bottom w:val="nil"/>
              <w:right w:val="nil"/>
            </w:tcBorders>
            <w:shd w:val="clear" w:color="auto" w:fill="FFFFFF"/>
            <w:noWrap/>
            <w:vAlign w:val="center"/>
          </w:tcPr>
          <w:p w14:paraId="498B44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夜间在校园内出行存在安全隐患</w:t>
            </w:r>
          </w:p>
        </w:tc>
      </w:tr>
      <w:tr w14:paraId="52ECD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6387891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5CAB7F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RP5</w:t>
            </w:r>
          </w:p>
        </w:tc>
        <w:tc>
          <w:tcPr>
            <w:tcW w:w="5137" w:type="dxa"/>
            <w:tcBorders>
              <w:top w:val="nil"/>
              <w:left w:val="nil"/>
              <w:bottom w:val="nil"/>
              <w:right w:val="nil"/>
            </w:tcBorders>
            <w:shd w:val="clear" w:color="auto" w:fill="FFFFFF"/>
            <w:noWrap/>
            <w:vAlign w:val="center"/>
          </w:tcPr>
          <w:p w14:paraId="6E293DD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某些路口的设计增加了事故风险</w:t>
            </w:r>
          </w:p>
        </w:tc>
      </w:tr>
      <w:tr w14:paraId="1FD21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5A5EF0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279783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RP6</w:t>
            </w:r>
          </w:p>
        </w:tc>
        <w:tc>
          <w:tcPr>
            <w:tcW w:w="5137" w:type="dxa"/>
            <w:tcBorders>
              <w:top w:val="nil"/>
              <w:left w:val="nil"/>
              <w:bottom w:val="single" w:color="000000" w:sz="4" w:space="0"/>
              <w:right w:val="nil"/>
            </w:tcBorders>
            <w:shd w:val="clear" w:color="auto" w:fill="FFFFFF"/>
            <w:noWrap/>
            <w:vAlign w:val="center"/>
          </w:tcPr>
          <w:p w14:paraId="207875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部分交通参与者的行为让我感到不安</w:t>
            </w:r>
          </w:p>
        </w:tc>
      </w:tr>
      <w:tr w14:paraId="3A6C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2F4BA1F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过往冲突经历</w:t>
            </w:r>
          </w:p>
          <w:p w14:paraId="7D18F2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Past Conflict Experience</w:t>
            </w:r>
          </w:p>
        </w:tc>
        <w:tc>
          <w:tcPr>
            <w:tcW w:w="1361" w:type="dxa"/>
            <w:tcBorders>
              <w:top w:val="single" w:color="000000" w:sz="4" w:space="0"/>
              <w:left w:val="nil"/>
              <w:bottom w:val="nil"/>
              <w:right w:val="nil"/>
            </w:tcBorders>
            <w:shd w:val="clear" w:color="auto" w:fill="FFFFFF"/>
            <w:noWrap/>
            <w:vAlign w:val="center"/>
          </w:tcPr>
          <w:p w14:paraId="43BB6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PCE1</w:t>
            </w:r>
          </w:p>
        </w:tc>
        <w:tc>
          <w:tcPr>
            <w:tcW w:w="5137" w:type="dxa"/>
            <w:tcBorders>
              <w:top w:val="single" w:color="000000" w:sz="4" w:space="0"/>
              <w:left w:val="nil"/>
              <w:bottom w:val="nil"/>
              <w:right w:val="nil"/>
            </w:tcBorders>
            <w:shd w:val="clear" w:color="auto" w:fill="FFFFFF"/>
            <w:noWrap/>
            <w:vAlign w:val="center"/>
          </w:tcPr>
          <w:p w14:paraId="07A792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我曾经历过差点发生事故的情况</w:t>
            </w:r>
          </w:p>
        </w:tc>
      </w:tr>
      <w:tr w14:paraId="4E043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A3A96D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6A9625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PCE2</w:t>
            </w:r>
          </w:p>
        </w:tc>
        <w:tc>
          <w:tcPr>
            <w:tcW w:w="5137" w:type="dxa"/>
            <w:tcBorders>
              <w:top w:val="nil"/>
              <w:left w:val="nil"/>
              <w:bottom w:val="nil"/>
              <w:right w:val="nil"/>
            </w:tcBorders>
            <w:shd w:val="clear" w:color="auto" w:fill="FFFFFF"/>
            <w:noWrap/>
            <w:vAlign w:val="center"/>
          </w:tcPr>
          <w:p w14:paraId="5951E5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我见过他人发生交通事故</w:t>
            </w:r>
          </w:p>
        </w:tc>
      </w:tr>
      <w:tr w14:paraId="27BA3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0A80486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084A1ED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PCE3</w:t>
            </w:r>
          </w:p>
        </w:tc>
        <w:tc>
          <w:tcPr>
            <w:tcW w:w="5137" w:type="dxa"/>
            <w:tcBorders>
              <w:top w:val="nil"/>
              <w:left w:val="nil"/>
              <w:bottom w:val="nil"/>
              <w:right w:val="nil"/>
            </w:tcBorders>
            <w:shd w:val="clear" w:color="auto" w:fill="FFFFFF"/>
            <w:noWrap/>
            <w:vAlign w:val="center"/>
          </w:tcPr>
          <w:p w14:paraId="553DF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我曾因交通问题与他人发生争执</w:t>
            </w:r>
          </w:p>
        </w:tc>
      </w:tr>
      <w:tr w14:paraId="6F81D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bottom w:val="single" w:color="000000" w:sz="4" w:space="0"/>
              <w:right w:val="nil"/>
            </w:tcBorders>
            <w:shd w:val="clear" w:color="auto" w:fill="FFFFFF"/>
            <w:noWrap/>
            <w:vAlign w:val="center"/>
          </w:tcPr>
          <w:p w14:paraId="513A763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470903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PCE4</w:t>
            </w:r>
          </w:p>
        </w:tc>
        <w:tc>
          <w:tcPr>
            <w:tcW w:w="5137" w:type="dxa"/>
            <w:tcBorders>
              <w:top w:val="nil"/>
              <w:left w:val="nil"/>
              <w:bottom w:val="single" w:color="000000" w:sz="4" w:space="0"/>
              <w:right w:val="nil"/>
            </w:tcBorders>
            <w:shd w:val="clear" w:color="auto" w:fill="FFFFFF"/>
            <w:noWrap/>
            <w:vAlign w:val="center"/>
          </w:tcPr>
          <w:p w14:paraId="27C4E2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我的朋友曾遭遇过交通安全问题</w:t>
            </w:r>
          </w:p>
        </w:tc>
      </w:tr>
      <w:tr w14:paraId="41D1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restart"/>
            <w:tcBorders>
              <w:top w:val="single" w:color="000000" w:sz="4" w:space="0"/>
              <w:left w:val="nil"/>
              <w:right w:val="nil"/>
            </w:tcBorders>
            <w:shd w:val="clear" w:color="auto" w:fill="FFFFFF"/>
            <w:noWrap/>
            <w:vAlign w:val="center"/>
          </w:tcPr>
          <w:p w14:paraId="71BB75D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行为意图</w:t>
            </w:r>
          </w:p>
          <w:p w14:paraId="2C3D244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sz w:val="24"/>
                <w:szCs w:val="24"/>
              </w:rPr>
              <w:t>Behavioral Intention</w:t>
            </w:r>
          </w:p>
        </w:tc>
        <w:tc>
          <w:tcPr>
            <w:tcW w:w="1361" w:type="dxa"/>
            <w:tcBorders>
              <w:top w:val="single" w:color="000000" w:sz="4" w:space="0"/>
              <w:left w:val="nil"/>
              <w:bottom w:val="nil"/>
              <w:right w:val="nil"/>
            </w:tcBorders>
            <w:shd w:val="clear" w:color="auto" w:fill="FFFFFF"/>
            <w:noWrap/>
            <w:vAlign w:val="center"/>
          </w:tcPr>
          <w:p w14:paraId="1F6935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BI1</w:t>
            </w:r>
          </w:p>
        </w:tc>
        <w:tc>
          <w:tcPr>
            <w:tcW w:w="5137" w:type="dxa"/>
            <w:tcBorders>
              <w:top w:val="single" w:color="000000" w:sz="4" w:space="0"/>
              <w:left w:val="nil"/>
              <w:bottom w:val="nil"/>
              <w:right w:val="nil"/>
            </w:tcBorders>
            <w:shd w:val="clear" w:color="auto" w:fill="FFFFFF"/>
            <w:noWrap/>
            <w:vAlign w:val="center"/>
          </w:tcPr>
          <w:p w14:paraId="0733D1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我会始终在指定区域行走/骑行</w:t>
            </w:r>
          </w:p>
        </w:tc>
      </w:tr>
      <w:tr w14:paraId="2C154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201E0E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24A56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BI2</w:t>
            </w:r>
          </w:p>
        </w:tc>
        <w:tc>
          <w:tcPr>
            <w:tcW w:w="5137" w:type="dxa"/>
            <w:tcBorders>
              <w:top w:val="nil"/>
              <w:left w:val="nil"/>
              <w:bottom w:val="nil"/>
              <w:right w:val="nil"/>
            </w:tcBorders>
            <w:shd w:val="clear" w:color="auto" w:fill="FFFFFF"/>
            <w:noWrap/>
            <w:vAlign w:val="center"/>
          </w:tcPr>
          <w:p w14:paraId="266773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未来一个月我会更加注意交通安全</w:t>
            </w:r>
          </w:p>
        </w:tc>
      </w:tr>
      <w:tr w14:paraId="491D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F9E555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145DCA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BI3</w:t>
            </w:r>
          </w:p>
        </w:tc>
        <w:tc>
          <w:tcPr>
            <w:tcW w:w="5137" w:type="dxa"/>
            <w:tcBorders>
              <w:top w:val="nil"/>
              <w:left w:val="nil"/>
              <w:bottom w:val="nil"/>
              <w:right w:val="nil"/>
            </w:tcBorders>
            <w:shd w:val="clear" w:color="auto" w:fill="FFFFFF"/>
            <w:noWrap/>
            <w:vAlign w:val="center"/>
          </w:tcPr>
          <w:p w14:paraId="5F80B6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即使赶时间我也不会违反交通规则</w:t>
            </w:r>
          </w:p>
        </w:tc>
      </w:tr>
      <w:tr w14:paraId="4FFB9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45" w:type="dxa"/>
            <w:vMerge w:val="continue"/>
            <w:tcBorders>
              <w:left w:val="nil"/>
              <w:right w:val="nil"/>
            </w:tcBorders>
            <w:shd w:val="clear" w:color="auto" w:fill="FFFFFF"/>
            <w:noWrap/>
            <w:vAlign w:val="center"/>
          </w:tcPr>
          <w:p w14:paraId="473E56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482920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BI4</w:t>
            </w:r>
          </w:p>
        </w:tc>
        <w:tc>
          <w:tcPr>
            <w:tcW w:w="5137" w:type="dxa"/>
            <w:tcBorders>
              <w:top w:val="nil"/>
              <w:left w:val="nil"/>
              <w:bottom w:val="nil"/>
              <w:right w:val="nil"/>
            </w:tcBorders>
            <w:shd w:val="clear" w:color="auto" w:fill="FFFFFF"/>
            <w:noWrap/>
            <w:vAlign w:val="center"/>
          </w:tcPr>
          <w:p w14:paraId="01F575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我会主动避让其他交通参与者</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表14 高校共享道路交通安全行为研究要素及其编码（续）</w:t>
      </w:r>
    </w:p>
    <w:tbl>
      <w:tblPr>
        <w:tblStyle w:val="8"/>
        <w:tblW w:w="864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145"/>
        <w:gridCol w:w="1361"/>
        <w:gridCol w:w="5137"/>
      </w:tblGrid>
      <w:tr w14:paraId="1F1F7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restart"/>
            <w:tcBorders>
              <w:left w:val="nil"/>
              <w:right w:val="nil"/>
            </w:tcBorders>
            <w:shd w:val="clear" w:color="auto" w:fill="FFFFFF"/>
            <w:noWrap/>
            <w:vAlign w:val="center"/>
          </w:tcPr>
          <w:p w14:paraId="758FE9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nil"/>
              <w:right w:val="nil"/>
            </w:tcBorders>
            <w:shd w:val="clear" w:color="auto" w:fill="FFFFFF"/>
            <w:noWrap/>
            <w:vAlign w:val="center"/>
          </w:tcPr>
          <w:p w14:paraId="79D761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BI5</w:t>
            </w:r>
          </w:p>
        </w:tc>
        <w:tc>
          <w:tcPr>
            <w:tcW w:w="5137" w:type="dxa"/>
            <w:tcBorders>
              <w:top w:val="nil"/>
              <w:left w:val="nil"/>
              <w:bottom w:val="nil"/>
              <w:right w:val="nil"/>
            </w:tcBorders>
            <w:shd w:val="clear" w:color="auto" w:fill="FFFFFF"/>
            <w:noWrap/>
            <w:vAlign w:val="center"/>
          </w:tcPr>
          <w:p w14:paraId="72B927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我不会为了方便而走捷径穿越危险区域</w:t>
            </w:r>
          </w:p>
        </w:tc>
      </w:tr>
      <w:tr w14:paraId="06DB2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2145" w:type="dxa"/>
            <w:vMerge w:val="continue"/>
            <w:tcBorders>
              <w:left w:val="nil"/>
              <w:bottom w:val="single" w:color="000000" w:sz="4" w:space="0"/>
              <w:right w:val="nil"/>
            </w:tcBorders>
            <w:shd w:val="clear" w:color="auto" w:fill="FFFFFF"/>
            <w:noWrap/>
            <w:vAlign w:val="center"/>
          </w:tcPr>
          <w:p w14:paraId="55D110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1361" w:type="dxa"/>
            <w:tcBorders>
              <w:top w:val="nil"/>
              <w:left w:val="nil"/>
              <w:bottom w:val="single" w:color="000000" w:sz="4" w:space="0"/>
              <w:right w:val="nil"/>
            </w:tcBorders>
            <w:shd w:val="clear" w:color="auto" w:fill="FFFFFF"/>
            <w:noWrap/>
            <w:vAlign w:val="center"/>
          </w:tcPr>
          <w:p w14:paraId="66199E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BI6</w:t>
            </w:r>
          </w:p>
        </w:tc>
        <w:tc>
          <w:tcPr>
            <w:tcW w:w="5137" w:type="dxa"/>
            <w:tcBorders>
              <w:top w:val="nil"/>
              <w:left w:val="nil"/>
              <w:bottom w:val="single" w:color="000000" w:sz="4" w:space="0"/>
              <w:right w:val="nil"/>
            </w:tcBorders>
            <w:shd w:val="clear" w:color="auto" w:fill="FFFFFF"/>
            <w:noWrap/>
            <w:vAlign w:val="center"/>
          </w:tcPr>
          <w:p w14:paraId="3265FA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看到他人违规时我会提醒</w:t>
            </w:r>
          </w:p>
        </w:tc>
      </w:tr>
    </w:tbl>
    <w:p w14:paraId="372A0DB1">
      <w:pPr>
        <w:pStyle w:val="3"/>
        <w:spacing w:before="100" w:after="300" w:line="400" w:lineRule="exact"/>
        <w:rPr>
          <w:rFonts w:hint="default" w:ascii="Times New Roman" w:hAnsi="Times New Roman" w:eastAsia="黑体" w:cs="Times New Roman"/>
          <w:b w:val="0"/>
          <w:bCs w:val="0"/>
          <w:sz w:val="28"/>
          <w:szCs w:val="28"/>
          <w:lang w:val="en-US" w:eastAsia="zh-CN"/>
        </w:rPr>
      </w:pPr>
    </w:p>
    <w:p w14:paraId="3BE905C2">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分层抽样与数据收集</w:t>
      </w:r>
    </w:p>
    <w:p w14:paraId="30E323E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（1）</w:t>
      </w:r>
      <w:r>
        <w:rPr>
          <w:rFonts w:hint="eastAsia" w:ascii="黑体" w:hAnsi="黑体" w:eastAsia="黑体" w:cs="黑体"/>
          <w:lang w:val="en-US" w:eastAsia="zh-CN"/>
        </w:rPr>
        <w:t>分层抽样设计</w:t>
      </w:r>
    </w:p>
    <w:p w14:paraId="3BBECF4F">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分层抽样设计乃是确保样本代表性的核心要素，本研究的抽样框架基于三个维度实施分层，具体为：交通方式（行人与骑行者）、身份类别（本科生、研究生、教职工）以及活动区域（教学区、生活区、办公区）。构建抽样框时，首要任务是明确总体规模。依据学校所提供的数据，校园内日均活动人数约达25,000人，通过为期一周的实地观测，统计得出不同区域、不同时段的交通方式分布情况：总体而言，行人占比58%，骑行者占比42%。然而，这一比例在不同区域呈现出显著差异，教学区行人占比72%，生活区分布较为均衡（行人占比52%），办公区骑行者占据优势（占比61%）。</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样本量的确定综合考量了多种方法。依据Cochran公式</w:t>
      </w:r>
      <w:r>
        <w:rPr>
          <w:rFonts w:hint="eastAsia" w:ascii="Times New Roman" w:hAnsi="Times New Roman" w:cs="Times New Roman"/>
          <w:lang w:val="en-US" w:eastAsia="zh-CN"/>
          <w:vertAlign w:val="superscript"/>
        </w:rPr>
        <w:t xml:space="preserve">[65]</w:t>
      </w:r>
      <w:r>
        <w:rPr>
          <w:rFonts w:hint="eastAsia" w:ascii="Times New Roman" w:hAnsi="Times New Roman" w:cs="Times New Roman"/>
          <w:lang w:val="en-US" w:eastAsia="zh-CN"/>
        </w:rPr>
        <w:t xml:space="preserve">，在95%置信水平、5%误差范围的条件下，所需样本量约为150人。但鉴于结构方程模型的要求，样本量应为估计参数的10-20倍。本研究模型包含43个观测变量和8个潜变量，因此需要200-300个样本。同时，多群组分析要求每组样本不少于100个。综合上述各项要求，最终确定目标样本量为260人。考虑到约80%的有效率，预计可获得有效样本约210-230人，其中行人和骑行者大致各占一半。分层比例的确定经过了审慎权衡。</w:t>
      </w:r>
    </w:p>
    <w:p w14:paraId="31A67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2</w:t>
      </w:r>
      <w:r>
        <w:rPr>
          <w:rFonts w:hint="default" w:ascii="黑体" w:hAnsi="黑体" w:eastAsia="黑体" w:cs="黑体"/>
          <w:lang w:val="en-US" w:eastAsia="zh-CN"/>
        </w:rPr>
        <w:t>）</w:t>
      </w:r>
      <w:r>
        <w:rPr>
          <w:rFonts w:hint="eastAsia" w:ascii="黑体" w:hAnsi="黑体" w:eastAsia="黑体" w:cs="黑体"/>
          <w:lang w:val="en-US" w:eastAsia="zh-CN"/>
        </w:rPr>
        <w:t>问卷数据收集</w:t>
      </w:r>
    </w:p>
    <w:p w14:paraId="2128C36C">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数据收集的实施周期为一周，采用线上与线下相结合的方式开展。线下主要实施拦截调查，于校园内设置12个调查点位，覆盖主要交通节点，具体为：教学楼入口（4个）、食堂门口（3个）、图书馆前（2个）、体育场馆（1个）、行政楼（1个）、校门口（1个）。每个调查点位配备2名经过专业培训的调查人员，在早高峰、午高峰和晚高峰时段开展调查工作。调查人员的选拔与培训至关重要，本研究招募了研究生助理，并对其进行了2小时的集中培训，培训内容涵盖抽样原则、拦截技巧、问卷填写指导、特殊情况处理等方面。</w:t>
      </w:r>
    </w:p>
    <w:p w14:paraId="79CD4515">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拦截调查运用系统抽样方法，每个调查点位每5分钟进行一次拦截，选取该时段通过的符合条件的调查对象。符合条件的界定如下：（1）属于目标群体（学生或教职工）；（2）当前交通出行方式明确（步行或骑行）；（3）愿意参与本次调查。共发放纸质问卷101份，并当场回收，回收率达100%，但在后期数据清理过程中发现，有效问卷率仅为85.1%（86份）。</w:t>
      </w:r>
    </w:p>
    <w:p w14:paraId="1D255F0D">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线上调查主要借助问卷星平台发布电子问卷，共收集到185份线上问卷。线上问卷设置了严格的质量控制措施，包括IP地址限制（每个IP仅允许提交一次问卷）、答题时间监控（答题时间少于5分钟或超过30分钟的问卷标记为异常）、注意力检查题（共3道，例如“请选择‘同意’”）以及逻辑一致性检查（如同时选择“从不骑车”和“每天骑车多次”的情况）。</w:t>
      </w:r>
    </w:p>
    <w:p w14:paraId="461A5A1F">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w:t>
      </w:r>
      <w:r>
        <w:rPr>
          <w:rFonts w:hint="eastAsia" w:ascii="黑体" w:hAnsi="黑体" w:eastAsia="黑体" w:cs="黑体"/>
          <w:lang w:val="en-US" w:eastAsia="zh-CN"/>
        </w:rPr>
        <w:t>3</w:t>
      </w:r>
      <w:r>
        <w:rPr>
          <w:rFonts w:hint="default" w:ascii="黑体" w:hAnsi="黑体" w:eastAsia="黑体" w:cs="黑体"/>
          <w:lang w:val="en-US" w:eastAsia="zh-CN"/>
        </w:rPr>
        <w:t>）</w:t>
      </w:r>
      <w:r>
        <w:rPr>
          <w:rFonts w:hint="eastAsia" w:ascii="黑体" w:hAnsi="黑体" w:eastAsia="黑体" w:cs="黑体"/>
          <w:lang w:val="en-US" w:eastAsia="zh-CN"/>
        </w:rPr>
        <w:t>问卷数据分析</w:t>
      </w:r>
    </w:p>
    <w:p w14:paraId="2E9B6771">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本研究共获取原始问卷286份，其中线下渠道收集101份，线上渠道收集185份。数据清理工作严格依照预定标准执行：（1）剔除答题时间异常（答题时长小于5分钟或大于30分钟）的问卷17份；（2）删除注意力检查题答错超过1道的问卷11份；（3）排除存在明显逻辑矛盾的问卷8份；（4）筛除关键变量缺失比例超过10%的问卷7份；（5）去除所有题目均选择同一选项的问卷5份；（6）剔除p&lt;0.</w:t>
      </w:r>
      <w:r>
        <w:rPr>
          <w:rFonts w:hint="default" w:ascii="Times New Roman" w:hAnsi="Times New Roman" w:cs="Times New Roman"/>
          <w:lang w:val="en-US" w:eastAsia="zh-CN"/>
        </w:rPr>
        <w:t>001的极端</w:t>
      </w:r>
      <w:r>
        <w:rPr>
          <w:rFonts w:hint="eastAsia" w:ascii="Times New Roman" w:hAnsi="Times New Roman" w:cs="Times New Roman"/>
          <w:lang w:val="en-US" w:eastAsia="zh-CN"/>
        </w:rPr>
        <w:t>值样本问卷</w:t>
      </w:r>
      <w:r>
        <w:rPr>
          <w:rFonts w:hint="default" w:ascii="Times New Roman" w:hAnsi="Times New Roman" w:cs="Times New Roman"/>
          <w:lang w:val="en-US" w:eastAsia="zh-CN"/>
        </w:rPr>
        <w:t>6份。最终获得有效问卷232份，有效</w:t>
      </w:r>
      <w:r>
        <w:rPr>
          <w:rFonts w:hint="eastAsia" w:ascii="Times New Roman" w:hAnsi="Times New Roman" w:cs="Times New Roman"/>
          <w:lang w:val="en-US" w:eastAsia="zh-CN"/>
        </w:rPr>
        <w:t>率为8</w:t>
      </w:r>
      <w:r>
        <w:rPr>
          <w:rFonts w:hint="default" w:ascii="Times New Roman" w:hAnsi="Times New Roman" w:cs="Times New Roman"/>
          <w:lang w:val="en-US" w:eastAsia="zh-CN"/>
        </w:rPr>
        <w:t>1.1%。</w:t>
      </w:r>
    </w:p>
    <w:p>
      <w:pPr>
        <w:pStyle w:val="4"/>
        <w:jc w:val="both"/>
        <w:rPr>
          <w:rFonts w:hint="eastAsia" w:eastAsia="宋体"/>
          <w:lang w:eastAsia="zh-CN"/>
        </w:rPr>
      </w:pPr>
      <w:r>
        <w:rPr>
          <w:rFonts w:hint="eastAsia" w:ascii="Times New Roman" w:hAnsi="Times New Roman" w:cs="Times New Roman"/>
          <w:lang w:val="en-US" w:eastAsia="zh-CN"/>
        </w:rPr>
        <w:t xml:space="preserve">有效样本的分布特征呈现如下态势（如表15所示）：在性别分布方面，相对均衡，其中男性样本为107人（占比46.1%），女性样本为125人（占比53.9%）。年龄分布状况为：18-22岁年龄段的样本有145人（占比62.5%）、23-25岁年龄段的样本有56人（占比24.1%）、26-30岁年龄段的样本有22人（占比9.5%）、30岁以上年龄段的样本有9人（占比3.9%），样本平均年龄为22.4岁（标准差SD=3.6）。身份构成情况为：本科生样本140人（占比60.3%）、硕士研究生样本52人（占比22.4%）、博士研究生样本14人（占比6.0%）、教职工样本26人（占比11.2%）。交通方式选择方面：选择步行出行的样本有120人（占比51.7%），选择骑行出行的样本有112人（占比48.3%），在骑行者样本中，使用自行车的有43人（占比38.4%），使用电动自行车的有69人（占比61.6%）。</w:t>
      </w:r>
    </w:p>
    <w:p w14:paraId="628B8CF4">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从活动区域视角分析，以教学区活动为主的样本有98人（占比42.2%），以生活区活动为主的样本有83人（占比35.8%），活动区域为混合区域的样本有51人（占比22.0%）。日均校园内出行距离分布情况为：出行距离小于1km的样本有70人（占比30.2%），出行距离在1-3km的样本有95人（占比41.0%），出行距离在3-5km的样本有48人（占比20.7%），出行距离大于5km的样本有19人（占比8.2%）。出行距离与交通方式选择呈现高度相关性（相关系数r=0.68，p&lt;0.001），即出行距离越远，样本越倾向于选择骑行方式出行。过往一年内经历过交通冲突（包含险些发生事故情况）的样本有102人（占比44.0%），其中行人样本34人，骑行者样本68人，骑行者的交通冲突经历显著高于行人。</w:t>
      </w:r>
    </w:p>
    <w:p w14:paraId="6B2995D2">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eastAsia"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before="0" w:after="0" w:line="240" w:lineRule="atLeast"/>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表15 样本人口分布特征</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80"/>
        <w:gridCol w:w="1076"/>
        <w:gridCol w:w="698"/>
        <w:gridCol w:w="1661"/>
        <w:gridCol w:w="2143"/>
      </w:tblGrid>
      <w:tr w14:paraId="1AD35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auto" w:sz="4" w:space="0"/>
              <w:left w:val="nil"/>
              <w:bottom w:val="single" w:color="auto" w:sz="12" w:space="0"/>
              <w:right w:val="nil"/>
            </w:tcBorders>
            <w:shd w:val="clear" w:color="auto" w:fill="FFFFFF"/>
            <w:noWrap/>
            <w:vAlign w:val="center"/>
          </w:tcPr>
          <w:p w14:paraId="4EAE71F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特征变量</w:t>
            </w:r>
          </w:p>
        </w:tc>
        <w:tc>
          <w:tcPr>
            <w:tcW w:w="0" w:type="auto"/>
            <w:tcBorders>
              <w:top w:val="single" w:color="auto" w:sz="4" w:space="0"/>
              <w:left w:val="nil"/>
              <w:bottom w:val="single" w:color="auto" w:sz="12" w:space="0"/>
              <w:right w:val="nil"/>
            </w:tcBorders>
            <w:shd w:val="clear" w:color="auto" w:fill="FFFFFF"/>
            <w:noWrap/>
            <w:vAlign w:val="center"/>
          </w:tcPr>
          <w:p w14:paraId="05FDA1C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类别</w:t>
            </w:r>
          </w:p>
        </w:tc>
        <w:tc>
          <w:tcPr>
            <w:tcW w:w="0" w:type="auto"/>
            <w:tcBorders>
              <w:top w:val="single" w:color="auto" w:sz="4" w:space="0"/>
              <w:left w:val="nil"/>
              <w:bottom w:val="single" w:color="auto" w:sz="12" w:space="0"/>
              <w:right w:val="nil"/>
            </w:tcBorders>
            <w:shd w:val="clear" w:color="auto" w:fill="FFFFFF"/>
            <w:noWrap/>
            <w:vAlign w:val="center"/>
          </w:tcPr>
          <w:p w14:paraId="1DCB6DF1">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频数</w:t>
            </w:r>
          </w:p>
        </w:tc>
        <w:tc>
          <w:tcPr>
            <w:tcW w:w="0" w:type="auto"/>
            <w:tcBorders>
              <w:top w:val="single" w:color="auto" w:sz="4" w:space="0"/>
              <w:left w:val="nil"/>
              <w:bottom w:val="single" w:color="auto" w:sz="12" w:space="0"/>
              <w:right w:val="nil"/>
            </w:tcBorders>
            <w:shd w:val="clear" w:color="auto" w:fill="FFFFFF"/>
            <w:noWrap/>
            <w:vAlign w:val="center"/>
          </w:tcPr>
          <w:p w14:paraId="484AE5E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百分比（%）</w:t>
            </w:r>
          </w:p>
        </w:tc>
        <w:tc>
          <w:tcPr>
            <w:tcW w:w="0" w:type="auto"/>
            <w:tcBorders>
              <w:top w:val="single" w:color="auto" w:sz="4" w:space="0"/>
              <w:left w:val="nil"/>
              <w:bottom w:val="single" w:color="auto" w:sz="12" w:space="0"/>
              <w:right w:val="nil"/>
            </w:tcBorders>
            <w:shd w:val="clear" w:color="auto" w:fill="FFFFFF"/>
            <w:noWrap/>
            <w:vAlign w:val="center"/>
          </w:tcPr>
          <w:p w14:paraId="37F61A0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累计百分比（%）</w:t>
            </w:r>
          </w:p>
        </w:tc>
      </w:tr>
      <w:tr w14:paraId="17A80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12" w:space="0"/>
              <w:left w:val="nil"/>
              <w:bottom w:val="nil"/>
              <w:right w:val="nil"/>
            </w:tcBorders>
            <w:shd w:val="clear" w:color="auto" w:fill="FFFFFF"/>
            <w:noWrap/>
            <w:vAlign w:val="center"/>
          </w:tcPr>
          <w:p w14:paraId="21D285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性别</w:t>
            </w:r>
          </w:p>
        </w:tc>
        <w:tc>
          <w:tcPr>
            <w:tcW w:w="0" w:type="auto"/>
            <w:tcBorders>
              <w:top w:val="single" w:color="auto" w:sz="12" w:space="0"/>
              <w:left w:val="nil"/>
              <w:bottom w:val="nil"/>
              <w:right w:val="nil"/>
            </w:tcBorders>
            <w:shd w:val="clear" w:color="auto" w:fill="FFFFFF"/>
            <w:noWrap/>
            <w:vAlign w:val="center"/>
          </w:tcPr>
          <w:p w14:paraId="20BF04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男</w:t>
            </w:r>
          </w:p>
        </w:tc>
        <w:tc>
          <w:tcPr>
            <w:tcW w:w="0" w:type="auto"/>
            <w:tcBorders>
              <w:top w:val="single" w:color="auto" w:sz="12" w:space="0"/>
              <w:left w:val="nil"/>
              <w:bottom w:val="nil"/>
              <w:right w:val="nil"/>
            </w:tcBorders>
            <w:shd w:val="clear" w:color="auto" w:fill="FFFFFF"/>
            <w:noWrap/>
            <w:vAlign w:val="center"/>
          </w:tcPr>
          <w:p w14:paraId="4C0A3E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107</w:t>
            </w:r>
          </w:p>
        </w:tc>
        <w:tc>
          <w:tcPr>
            <w:tcW w:w="0" w:type="auto"/>
            <w:tcBorders>
              <w:top w:val="single" w:color="auto" w:sz="12" w:space="0"/>
              <w:left w:val="nil"/>
              <w:bottom w:val="nil"/>
              <w:right w:val="nil"/>
            </w:tcBorders>
            <w:shd w:val="clear" w:color="auto" w:fill="FFFFFF"/>
            <w:noWrap/>
            <w:vAlign w:val="center"/>
          </w:tcPr>
          <w:p w14:paraId="443FFF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c>
          <w:tcPr>
            <w:tcW w:w="0" w:type="auto"/>
            <w:tcBorders>
              <w:top w:val="single" w:color="auto" w:sz="12" w:space="0"/>
              <w:left w:val="nil"/>
              <w:bottom w:val="nil"/>
              <w:right w:val="nil"/>
            </w:tcBorders>
            <w:shd w:val="clear" w:color="auto" w:fill="FFFFFF"/>
            <w:noWrap/>
            <w:vAlign w:val="center"/>
          </w:tcPr>
          <w:p w14:paraId="2E16DB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46.1</w:t>
            </w:r>
          </w:p>
        </w:tc>
      </w:tr>
      <w:tr w14:paraId="06F0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4C4B9C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45BDEB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女</w:t>
            </w:r>
          </w:p>
        </w:tc>
        <w:tc>
          <w:tcPr>
            <w:tcW w:w="0" w:type="auto"/>
            <w:tcBorders>
              <w:top w:val="nil"/>
              <w:left w:val="nil"/>
              <w:bottom w:val="single" w:color="auto" w:sz="4" w:space="0"/>
              <w:right w:val="nil"/>
            </w:tcBorders>
            <w:shd w:val="clear" w:color="auto" w:fill="FFFFFF"/>
            <w:noWrap/>
            <w:vAlign w:val="center"/>
          </w:tcPr>
          <w:p w14:paraId="5DE5CB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125</w:t>
            </w:r>
          </w:p>
        </w:tc>
        <w:tc>
          <w:tcPr>
            <w:tcW w:w="0" w:type="auto"/>
            <w:tcBorders>
              <w:top w:val="nil"/>
              <w:left w:val="nil"/>
              <w:bottom w:val="single" w:color="auto" w:sz="4" w:space="0"/>
              <w:right w:val="nil"/>
            </w:tcBorders>
            <w:shd w:val="clear" w:color="auto" w:fill="FFFFFF"/>
            <w:noWrap/>
            <w:vAlign w:val="center"/>
          </w:tcPr>
          <w:p w14:paraId="5BE704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53.9</w:t>
            </w:r>
          </w:p>
        </w:tc>
        <w:tc>
          <w:tcPr>
            <w:tcW w:w="0" w:type="auto"/>
            <w:tcBorders>
              <w:top w:val="nil"/>
              <w:left w:val="nil"/>
              <w:bottom w:val="single" w:color="auto" w:sz="4" w:space="0"/>
              <w:right w:val="nil"/>
            </w:tcBorders>
            <w:shd w:val="clear" w:color="auto" w:fill="FFFFFF"/>
            <w:noWrap/>
            <w:vAlign w:val="center"/>
          </w:tcPr>
          <w:p w14:paraId="01CB5D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30409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5C322E1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年龄</w:t>
            </w:r>
          </w:p>
        </w:tc>
        <w:tc>
          <w:tcPr>
            <w:tcW w:w="0" w:type="auto"/>
            <w:tcBorders>
              <w:top w:val="single" w:color="auto" w:sz="4" w:space="0"/>
              <w:left w:val="nil"/>
              <w:bottom w:val="nil"/>
              <w:right w:val="nil"/>
            </w:tcBorders>
            <w:shd w:val="clear" w:color="auto" w:fill="FFFFFF"/>
            <w:noWrap/>
            <w:vAlign w:val="center"/>
          </w:tcPr>
          <w:p w14:paraId="037EAB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18-22岁</w:t>
            </w:r>
          </w:p>
        </w:tc>
        <w:tc>
          <w:tcPr>
            <w:tcW w:w="0" w:type="auto"/>
            <w:tcBorders>
              <w:top w:val="single" w:color="auto" w:sz="4" w:space="0"/>
              <w:left w:val="nil"/>
              <w:bottom w:val="nil"/>
              <w:right w:val="nil"/>
            </w:tcBorders>
            <w:shd w:val="clear" w:color="auto" w:fill="FFFFFF"/>
            <w:noWrap/>
            <w:vAlign w:val="center"/>
          </w:tcPr>
          <w:p w14:paraId="717E1F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145</w:t>
            </w:r>
          </w:p>
        </w:tc>
        <w:tc>
          <w:tcPr>
            <w:tcW w:w="0" w:type="auto"/>
            <w:tcBorders>
              <w:top w:val="single" w:color="auto" w:sz="4" w:space="0"/>
              <w:left w:val="nil"/>
              <w:bottom w:val="nil"/>
              <w:right w:val="nil"/>
            </w:tcBorders>
            <w:shd w:val="clear" w:color="auto" w:fill="FFFFFF"/>
            <w:noWrap/>
            <w:vAlign w:val="center"/>
          </w:tcPr>
          <w:p w14:paraId="53D61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c>
          <w:tcPr>
            <w:tcW w:w="0" w:type="auto"/>
            <w:tcBorders>
              <w:top w:val="single" w:color="auto" w:sz="4" w:space="0"/>
              <w:left w:val="nil"/>
              <w:bottom w:val="nil"/>
              <w:right w:val="nil"/>
            </w:tcBorders>
            <w:shd w:val="clear" w:color="auto" w:fill="FFFFFF"/>
            <w:noWrap/>
            <w:vAlign w:val="center"/>
          </w:tcPr>
          <w:p w14:paraId="606DCA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62.5</w:t>
            </w:r>
          </w:p>
        </w:tc>
      </w:tr>
      <w:tr w14:paraId="3AEF7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AB81F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29DB2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23-25岁</w:t>
            </w:r>
          </w:p>
        </w:tc>
        <w:tc>
          <w:tcPr>
            <w:tcW w:w="0" w:type="auto"/>
            <w:tcBorders>
              <w:top w:val="nil"/>
              <w:left w:val="nil"/>
              <w:bottom w:val="nil"/>
              <w:right w:val="nil"/>
            </w:tcBorders>
            <w:shd w:val="clear" w:color="auto" w:fill="FFFFFF"/>
            <w:noWrap/>
            <w:vAlign w:val="center"/>
          </w:tcPr>
          <w:p w14:paraId="41F2A1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nil"/>
              <w:right w:val="nil"/>
            </w:tcBorders>
            <w:shd w:val="clear" w:color="auto" w:fill="FFFFFF"/>
            <w:noWrap/>
            <w:vAlign w:val="center"/>
          </w:tcPr>
          <w:p w14:paraId="56370D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24.1</w:t>
            </w:r>
          </w:p>
        </w:tc>
        <w:tc>
          <w:tcPr>
            <w:tcW w:w="0" w:type="auto"/>
            <w:tcBorders>
              <w:top w:val="nil"/>
              <w:left w:val="nil"/>
              <w:bottom w:val="nil"/>
              <w:right w:val="nil"/>
            </w:tcBorders>
            <w:shd w:val="clear" w:color="auto" w:fill="FFFFFF"/>
            <w:noWrap/>
            <w:vAlign w:val="center"/>
          </w:tcPr>
          <w:p w14:paraId="4E6BF4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86.6</w:t>
            </w:r>
          </w:p>
        </w:tc>
      </w:tr>
      <w:tr w14:paraId="64167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43BBC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488F4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26-30岁</w:t>
            </w:r>
          </w:p>
        </w:tc>
        <w:tc>
          <w:tcPr>
            <w:tcW w:w="0" w:type="auto"/>
            <w:tcBorders>
              <w:top w:val="nil"/>
              <w:left w:val="nil"/>
              <w:bottom w:val="nil"/>
              <w:right w:val="nil"/>
            </w:tcBorders>
            <w:shd w:val="clear" w:color="auto" w:fill="FFFFFF"/>
            <w:noWrap/>
            <w:vAlign w:val="center"/>
          </w:tcPr>
          <w:p w14:paraId="1DB668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w:t>
            </w:r>
          </w:p>
        </w:tc>
        <w:tc>
          <w:tcPr>
            <w:tcW w:w="0" w:type="auto"/>
            <w:tcBorders>
              <w:top w:val="nil"/>
              <w:left w:val="nil"/>
              <w:bottom w:val="nil"/>
              <w:right w:val="nil"/>
            </w:tcBorders>
            <w:shd w:val="clear" w:color="auto" w:fill="FFFFFF"/>
            <w:noWrap/>
            <w:vAlign w:val="center"/>
          </w:tcPr>
          <w:p w14:paraId="4CE1A58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0EBEE6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96.1</w:t>
            </w:r>
          </w:p>
        </w:tc>
      </w:tr>
      <w:tr w14:paraId="3E9EE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22BC7A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74B40F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&gt;30岁</w:t>
            </w:r>
          </w:p>
        </w:tc>
        <w:tc>
          <w:tcPr>
            <w:tcW w:w="0" w:type="auto"/>
            <w:tcBorders>
              <w:top w:val="nil"/>
              <w:left w:val="nil"/>
              <w:bottom w:val="single" w:color="auto" w:sz="4" w:space="0"/>
              <w:right w:val="nil"/>
            </w:tcBorders>
            <w:shd w:val="clear" w:color="auto" w:fill="FFFFFF"/>
            <w:noWrap/>
            <w:vAlign w:val="center"/>
          </w:tcPr>
          <w:p w14:paraId="252F25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w:t>
            </w:r>
          </w:p>
        </w:tc>
        <w:tc>
          <w:tcPr>
            <w:tcW w:w="0" w:type="auto"/>
            <w:tcBorders>
              <w:top w:val="nil"/>
              <w:left w:val="nil"/>
              <w:bottom w:val="single" w:color="auto" w:sz="4" w:space="0"/>
              <w:right w:val="nil"/>
            </w:tcBorders>
            <w:shd w:val="clear" w:color="auto" w:fill="FFFFFF"/>
            <w:noWrap/>
            <w:vAlign w:val="center"/>
          </w:tcPr>
          <w:p w14:paraId="4CDE27B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3.9</w:t>
            </w:r>
          </w:p>
        </w:tc>
        <w:tc>
          <w:tcPr>
            <w:tcW w:w="0" w:type="auto"/>
            <w:tcBorders>
              <w:top w:val="nil"/>
              <w:left w:val="nil"/>
              <w:bottom w:val="single" w:color="auto" w:sz="4" w:space="0"/>
              <w:right w:val="nil"/>
            </w:tcBorders>
            <w:shd w:val="clear" w:color="auto" w:fill="FFFFFF"/>
            <w:noWrap/>
            <w:vAlign w:val="center"/>
          </w:tcPr>
          <w:p w14:paraId="3BF2C0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6801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40311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身份</w:t>
            </w:r>
          </w:p>
        </w:tc>
        <w:tc>
          <w:tcPr>
            <w:tcW w:w="0" w:type="auto"/>
            <w:tcBorders>
              <w:top w:val="single" w:color="auto" w:sz="4" w:space="0"/>
              <w:left w:val="nil"/>
              <w:bottom w:val="nil"/>
              <w:right w:val="nil"/>
            </w:tcBorders>
            <w:shd w:val="clear" w:color="auto" w:fill="FFFFFF"/>
            <w:noWrap/>
            <w:vAlign w:val="center"/>
          </w:tcPr>
          <w:p w14:paraId="778AABC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本科生</w:t>
            </w:r>
          </w:p>
        </w:tc>
        <w:tc>
          <w:tcPr>
            <w:tcW w:w="0" w:type="auto"/>
            <w:tcBorders>
              <w:top w:val="single" w:color="auto" w:sz="4" w:space="0"/>
              <w:left w:val="nil"/>
              <w:bottom w:val="nil"/>
              <w:right w:val="nil"/>
            </w:tcBorders>
            <w:shd w:val="clear" w:color="auto" w:fill="FFFFFF"/>
            <w:noWrap/>
            <w:vAlign w:val="center"/>
          </w:tcPr>
          <w:p w14:paraId="0B526D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140</w:t>
            </w:r>
          </w:p>
        </w:tc>
        <w:tc>
          <w:tcPr>
            <w:tcW w:w="0" w:type="auto"/>
            <w:tcBorders>
              <w:top w:val="single" w:color="auto" w:sz="4" w:space="0"/>
              <w:left w:val="nil"/>
              <w:bottom w:val="nil"/>
              <w:right w:val="nil"/>
            </w:tcBorders>
            <w:shd w:val="clear" w:color="auto" w:fill="FFFFFF"/>
            <w:noWrap/>
            <w:vAlign w:val="center"/>
          </w:tcPr>
          <w:p w14:paraId="198D00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c>
          <w:tcPr>
            <w:tcW w:w="0" w:type="auto"/>
            <w:tcBorders>
              <w:top w:val="single" w:color="auto" w:sz="4" w:space="0"/>
              <w:left w:val="nil"/>
              <w:bottom w:val="nil"/>
              <w:right w:val="nil"/>
            </w:tcBorders>
            <w:shd w:val="clear" w:color="auto" w:fill="FFFFFF"/>
            <w:noWrap/>
            <w:vAlign w:val="center"/>
          </w:tcPr>
          <w:p w14:paraId="2A1EC8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60.3</w:t>
            </w:r>
          </w:p>
        </w:tc>
      </w:tr>
      <w:tr w14:paraId="65D42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78883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1D0EC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硕士生</w:t>
            </w:r>
          </w:p>
        </w:tc>
        <w:tc>
          <w:tcPr>
            <w:tcW w:w="0" w:type="auto"/>
            <w:tcBorders>
              <w:top w:val="nil"/>
              <w:left w:val="nil"/>
              <w:bottom w:val="nil"/>
              <w:right w:val="nil"/>
            </w:tcBorders>
            <w:shd w:val="clear" w:color="auto" w:fill="FFFFFF"/>
            <w:noWrap/>
            <w:vAlign w:val="center"/>
          </w:tcPr>
          <w:p w14:paraId="78411D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w:t>
            </w:r>
          </w:p>
        </w:tc>
        <w:tc>
          <w:tcPr>
            <w:tcW w:w="0" w:type="auto"/>
            <w:tcBorders>
              <w:top w:val="nil"/>
              <w:left w:val="nil"/>
              <w:bottom w:val="nil"/>
              <w:right w:val="nil"/>
            </w:tcBorders>
            <w:shd w:val="clear" w:color="auto" w:fill="FFFFFF"/>
            <w:noWrap/>
            <w:vAlign w:val="center"/>
          </w:tcPr>
          <w:p w14:paraId="788DC3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22.4</w:t>
            </w:r>
          </w:p>
        </w:tc>
        <w:tc>
          <w:tcPr>
            <w:tcW w:w="0" w:type="auto"/>
            <w:tcBorders>
              <w:top w:val="nil"/>
              <w:left w:val="nil"/>
              <w:bottom w:val="nil"/>
              <w:right w:val="nil"/>
            </w:tcBorders>
            <w:shd w:val="clear" w:color="auto" w:fill="FFFFFF"/>
            <w:noWrap/>
            <w:vAlign w:val="center"/>
          </w:tcPr>
          <w:p w14:paraId="1D033B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82.8</w:t>
            </w:r>
          </w:p>
        </w:tc>
      </w:tr>
      <w:tr w14:paraId="0BB10A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6CA41A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4F9FFE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博士生</w:t>
            </w:r>
          </w:p>
        </w:tc>
        <w:tc>
          <w:tcPr>
            <w:tcW w:w="0" w:type="auto"/>
            <w:tcBorders>
              <w:top w:val="nil"/>
              <w:left w:val="nil"/>
              <w:bottom w:val="nil"/>
              <w:right w:val="nil"/>
            </w:tcBorders>
            <w:shd w:val="clear" w:color="auto" w:fill="FFFFFF"/>
            <w:noWrap/>
            <w:vAlign w:val="center"/>
          </w:tcPr>
          <w:p w14:paraId="6D86EE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0" w:type="auto"/>
            <w:tcBorders>
              <w:top w:val="nil"/>
              <w:left w:val="nil"/>
              <w:bottom w:val="nil"/>
              <w:right w:val="nil"/>
            </w:tcBorders>
            <w:shd w:val="clear" w:color="auto" w:fill="FFFFFF"/>
            <w:noWrap/>
            <w:vAlign w:val="center"/>
          </w:tcPr>
          <w:p w14:paraId="7E27C11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3D2D21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88.8</w:t>
            </w:r>
          </w:p>
        </w:tc>
      </w:tr>
      <w:tr w14:paraId="26C459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BE6C0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65F1912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教职工</w:t>
            </w:r>
          </w:p>
        </w:tc>
        <w:tc>
          <w:tcPr>
            <w:tcW w:w="0" w:type="auto"/>
            <w:tcBorders>
              <w:top w:val="nil"/>
              <w:left w:val="nil"/>
              <w:bottom w:val="single" w:color="auto" w:sz="4" w:space="0"/>
              <w:right w:val="nil"/>
            </w:tcBorders>
            <w:shd w:val="clear" w:color="auto" w:fill="FFFFFF"/>
            <w:noWrap/>
            <w:vAlign w:val="center"/>
          </w:tcPr>
          <w:p w14:paraId="0ED2A5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w:t>
            </w:r>
          </w:p>
        </w:tc>
        <w:tc>
          <w:tcPr>
            <w:tcW w:w="0" w:type="auto"/>
            <w:tcBorders>
              <w:top w:val="nil"/>
              <w:left w:val="nil"/>
              <w:bottom w:val="single" w:color="auto" w:sz="4" w:space="0"/>
              <w:right w:val="nil"/>
            </w:tcBorders>
            <w:shd w:val="clear" w:color="auto" w:fill="FFFFFF"/>
            <w:noWrap/>
            <w:vAlign w:val="center"/>
          </w:tcPr>
          <w:p w14:paraId="77BFE5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11.2</w:t>
            </w:r>
          </w:p>
        </w:tc>
        <w:tc>
          <w:tcPr>
            <w:tcW w:w="0" w:type="auto"/>
            <w:tcBorders>
              <w:top w:val="nil"/>
              <w:left w:val="nil"/>
              <w:bottom w:val="single" w:color="auto" w:sz="4" w:space="0"/>
              <w:right w:val="nil"/>
            </w:tcBorders>
            <w:shd w:val="clear" w:color="auto" w:fill="FFFFFF"/>
            <w:noWrap/>
            <w:vAlign w:val="center"/>
          </w:tcPr>
          <w:p w14:paraId="42D078A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619EA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483C10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交通方式</w:t>
            </w:r>
          </w:p>
        </w:tc>
        <w:tc>
          <w:tcPr>
            <w:tcW w:w="0" w:type="auto"/>
            <w:tcBorders>
              <w:top w:val="single" w:color="auto" w:sz="4" w:space="0"/>
              <w:left w:val="nil"/>
              <w:bottom w:val="nil"/>
              <w:right w:val="nil"/>
            </w:tcBorders>
            <w:shd w:val="clear" w:color="auto" w:fill="FFFFFF"/>
            <w:noWrap/>
            <w:vAlign w:val="center"/>
          </w:tcPr>
          <w:p w14:paraId="3D70CF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步行</w:t>
            </w:r>
          </w:p>
        </w:tc>
        <w:tc>
          <w:tcPr>
            <w:tcW w:w="0" w:type="auto"/>
            <w:tcBorders>
              <w:top w:val="single" w:color="auto" w:sz="4" w:space="0"/>
              <w:left w:val="nil"/>
              <w:bottom w:val="nil"/>
              <w:right w:val="nil"/>
            </w:tcBorders>
            <w:shd w:val="clear" w:color="auto" w:fill="FFFFFF"/>
            <w:noWrap/>
            <w:vAlign w:val="center"/>
          </w:tcPr>
          <w:p w14:paraId="46A2D2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120</w:t>
            </w:r>
          </w:p>
        </w:tc>
        <w:tc>
          <w:tcPr>
            <w:tcW w:w="0" w:type="auto"/>
            <w:tcBorders>
              <w:top w:val="single" w:color="auto" w:sz="4" w:space="0"/>
              <w:left w:val="nil"/>
              <w:bottom w:val="nil"/>
              <w:right w:val="nil"/>
            </w:tcBorders>
            <w:shd w:val="clear" w:color="auto" w:fill="FFFFFF"/>
            <w:noWrap/>
            <w:vAlign w:val="center"/>
          </w:tcPr>
          <w:p w14:paraId="22C2C9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c>
          <w:tcPr>
            <w:tcW w:w="0" w:type="auto"/>
            <w:tcBorders>
              <w:top w:val="single" w:color="auto" w:sz="4" w:space="0"/>
              <w:left w:val="nil"/>
              <w:bottom w:val="nil"/>
              <w:right w:val="nil"/>
            </w:tcBorders>
            <w:shd w:val="clear" w:color="auto" w:fill="FFFFFF"/>
            <w:noWrap/>
            <w:vAlign w:val="center"/>
          </w:tcPr>
          <w:p w14:paraId="7FB52D8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51.7</w:t>
            </w:r>
          </w:p>
        </w:tc>
      </w:tr>
      <w:tr w14:paraId="4124F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DC68F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248A99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自行车</w:t>
            </w:r>
          </w:p>
        </w:tc>
        <w:tc>
          <w:tcPr>
            <w:tcW w:w="0" w:type="auto"/>
            <w:tcBorders>
              <w:top w:val="nil"/>
              <w:left w:val="nil"/>
              <w:bottom w:val="nil"/>
              <w:right w:val="nil"/>
            </w:tcBorders>
            <w:shd w:val="clear" w:color="auto" w:fill="FFFFFF"/>
            <w:noWrap/>
            <w:vAlign w:val="center"/>
          </w:tcPr>
          <w:p w14:paraId="3251B5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w:t>
            </w:r>
          </w:p>
        </w:tc>
        <w:tc>
          <w:tcPr>
            <w:tcW w:w="0" w:type="auto"/>
            <w:tcBorders>
              <w:top w:val="nil"/>
              <w:left w:val="nil"/>
              <w:bottom w:val="nil"/>
              <w:right w:val="nil"/>
            </w:tcBorders>
            <w:shd w:val="clear" w:color="auto" w:fill="FFFFFF"/>
            <w:noWrap/>
            <w:vAlign w:val="center"/>
          </w:tcPr>
          <w:p w14:paraId="135B3E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18.5</w:t>
            </w:r>
          </w:p>
        </w:tc>
        <w:tc>
          <w:tcPr>
            <w:tcW w:w="0" w:type="auto"/>
            <w:tcBorders>
              <w:top w:val="nil"/>
              <w:left w:val="nil"/>
              <w:bottom w:val="nil"/>
              <w:right w:val="nil"/>
            </w:tcBorders>
            <w:shd w:val="clear" w:color="auto" w:fill="FFFFFF"/>
            <w:noWrap/>
            <w:vAlign w:val="center"/>
          </w:tcPr>
          <w:p w14:paraId="464435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70.3</w:t>
            </w:r>
          </w:p>
        </w:tc>
      </w:tr>
      <w:tr w14:paraId="71788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6E53D0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07A518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电动车</w:t>
            </w:r>
          </w:p>
        </w:tc>
        <w:tc>
          <w:tcPr>
            <w:tcW w:w="0" w:type="auto"/>
            <w:tcBorders>
              <w:top w:val="nil"/>
              <w:left w:val="nil"/>
              <w:bottom w:val="single" w:color="auto" w:sz="4" w:space="0"/>
              <w:right w:val="nil"/>
            </w:tcBorders>
            <w:shd w:val="clear" w:color="auto" w:fill="FFFFFF"/>
            <w:noWrap/>
            <w:vAlign w:val="center"/>
          </w:tcPr>
          <w:p w14:paraId="57449B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69</w:t>
            </w:r>
          </w:p>
        </w:tc>
        <w:tc>
          <w:tcPr>
            <w:tcW w:w="0" w:type="auto"/>
            <w:tcBorders>
              <w:top w:val="nil"/>
              <w:left w:val="nil"/>
              <w:bottom w:val="single" w:color="auto" w:sz="4" w:space="0"/>
              <w:right w:val="nil"/>
            </w:tcBorders>
            <w:shd w:val="clear" w:color="auto" w:fill="FFFFFF"/>
            <w:noWrap/>
            <w:vAlign w:val="center"/>
          </w:tcPr>
          <w:p w14:paraId="7C742A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29.7</w:t>
            </w:r>
          </w:p>
        </w:tc>
        <w:tc>
          <w:tcPr>
            <w:tcW w:w="0" w:type="auto"/>
            <w:tcBorders>
              <w:top w:val="nil"/>
              <w:left w:val="nil"/>
              <w:bottom w:val="single" w:color="auto" w:sz="4" w:space="0"/>
              <w:right w:val="nil"/>
            </w:tcBorders>
            <w:shd w:val="clear" w:color="auto" w:fill="FFFFFF"/>
            <w:noWrap/>
            <w:vAlign w:val="center"/>
          </w:tcPr>
          <w:p w14:paraId="09E5F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0744D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7FE44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日均距离</w:t>
            </w:r>
          </w:p>
        </w:tc>
        <w:tc>
          <w:tcPr>
            <w:tcW w:w="0" w:type="auto"/>
            <w:tcBorders>
              <w:top w:val="single" w:color="auto" w:sz="4" w:space="0"/>
              <w:left w:val="nil"/>
              <w:bottom w:val="nil"/>
              <w:right w:val="nil"/>
            </w:tcBorders>
            <w:shd w:val="clear" w:color="auto" w:fill="FFFFFF"/>
            <w:noWrap/>
            <w:vAlign w:val="center"/>
          </w:tcPr>
          <w:p w14:paraId="543896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&lt;1km</w:t>
            </w:r>
          </w:p>
        </w:tc>
        <w:tc>
          <w:tcPr>
            <w:tcW w:w="0" w:type="auto"/>
            <w:tcBorders>
              <w:top w:val="single" w:color="auto" w:sz="4" w:space="0"/>
              <w:left w:val="nil"/>
              <w:bottom w:val="nil"/>
              <w:right w:val="nil"/>
            </w:tcBorders>
            <w:shd w:val="clear" w:color="auto" w:fill="FFFFFF"/>
            <w:noWrap/>
            <w:vAlign w:val="center"/>
          </w:tcPr>
          <w:p w14:paraId="5AED63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single" w:color="auto" w:sz="4" w:space="0"/>
              <w:left w:val="nil"/>
              <w:bottom w:val="nil"/>
              <w:right w:val="nil"/>
            </w:tcBorders>
            <w:shd w:val="clear" w:color="auto" w:fill="FFFFFF"/>
            <w:noWrap/>
            <w:vAlign w:val="center"/>
          </w:tcPr>
          <w:p w14:paraId="045909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c>
          <w:tcPr>
            <w:tcW w:w="0" w:type="auto"/>
            <w:tcBorders>
              <w:top w:val="single" w:color="auto" w:sz="4" w:space="0"/>
              <w:left w:val="nil"/>
              <w:bottom w:val="nil"/>
              <w:right w:val="nil"/>
            </w:tcBorders>
            <w:shd w:val="clear" w:color="auto" w:fill="FFFFFF"/>
            <w:noWrap/>
            <w:vAlign w:val="center"/>
          </w:tcPr>
          <w:p w14:paraId="69F464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30.2</w:t>
            </w:r>
          </w:p>
        </w:tc>
      </w:tr>
      <w:tr w14:paraId="4C9A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9D05DF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6A8A3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1-3km</w:t>
            </w:r>
          </w:p>
        </w:tc>
        <w:tc>
          <w:tcPr>
            <w:tcW w:w="0" w:type="auto"/>
            <w:tcBorders>
              <w:top w:val="nil"/>
              <w:left w:val="nil"/>
              <w:bottom w:val="nil"/>
              <w:right w:val="nil"/>
            </w:tcBorders>
            <w:shd w:val="clear" w:color="auto" w:fill="FFFFFF"/>
            <w:noWrap/>
            <w:vAlign w:val="center"/>
          </w:tcPr>
          <w:p w14:paraId="4867B8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nil"/>
              <w:left w:val="nil"/>
              <w:bottom w:val="nil"/>
              <w:right w:val="nil"/>
            </w:tcBorders>
            <w:shd w:val="clear" w:color="auto" w:fill="FFFFFF"/>
            <w:noWrap/>
            <w:vAlign w:val="center"/>
          </w:tcPr>
          <w:p w14:paraId="44E022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w:t>
            </w:r>
          </w:p>
        </w:tc>
        <w:tc>
          <w:tcPr>
            <w:tcW w:w="0" w:type="auto"/>
            <w:tcBorders>
              <w:top w:val="nil"/>
              <w:left w:val="nil"/>
              <w:bottom w:val="nil"/>
              <w:right w:val="nil"/>
            </w:tcBorders>
            <w:shd w:val="clear" w:color="auto" w:fill="FFFFFF"/>
            <w:noWrap/>
            <w:vAlign w:val="center"/>
          </w:tcPr>
          <w:p w14:paraId="0F3379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71.1</w:t>
            </w:r>
          </w:p>
        </w:tc>
      </w:tr>
      <w:tr w14:paraId="5216C2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562DEC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noWrap/>
            <w:vAlign w:val="center"/>
          </w:tcPr>
          <w:p w14:paraId="71C98EA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3-5km</w:t>
            </w:r>
          </w:p>
        </w:tc>
        <w:tc>
          <w:tcPr>
            <w:tcW w:w="0" w:type="auto"/>
            <w:tcBorders>
              <w:top w:val="nil"/>
              <w:left w:val="nil"/>
              <w:bottom w:val="nil"/>
              <w:right w:val="nil"/>
            </w:tcBorders>
            <w:shd w:val="clear" w:color="auto" w:fill="FFFFFF"/>
            <w:noWrap/>
            <w:vAlign w:val="center"/>
          </w:tcPr>
          <w:p w14:paraId="1D24DC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48</w:t>
            </w:r>
          </w:p>
        </w:tc>
        <w:tc>
          <w:tcPr>
            <w:tcW w:w="0" w:type="auto"/>
            <w:tcBorders>
              <w:top w:val="nil"/>
              <w:left w:val="nil"/>
              <w:bottom w:val="nil"/>
              <w:right w:val="nil"/>
            </w:tcBorders>
            <w:shd w:val="clear" w:color="auto" w:fill="FFFFFF"/>
            <w:noWrap/>
            <w:vAlign w:val="center"/>
          </w:tcPr>
          <w:p w14:paraId="39DC9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20.7</w:t>
            </w:r>
          </w:p>
        </w:tc>
        <w:tc>
          <w:tcPr>
            <w:tcW w:w="0" w:type="auto"/>
            <w:tcBorders>
              <w:top w:val="nil"/>
              <w:left w:val="nil"/>
              <w:bottom w:val="nil"/>
              <w:right w:val="nil"/>
            </w:tcBorders>
            <w:shd w:val="clear" w:color="auto" w:fill="FFFFFF"/>
            <w:noWrap/>
            <w:vAlign w:val="center"/>
          </w:tcPr>
          <w:p w14:paraId="515830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91.8</w:t>
            </w:r>
          </w:p>
        </w:tc>
      </w:tr>
      <w:tr w14:paraId="2C2661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auto" w:sz="4" w:space="0"/>
              <w:right w:val="nil"/>
            </w:tcBorders>
            <w:shd w:val="clear" w:color="auto" w:fill="FFFFFF"/>
            <w:noWrap/>
            <w:vAlign w:val="center"/>
          </w:tcPr>
          <w:p w14:paraId="318E2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auto" w:sz="4" w:space="0"/>
              <w:right w:val="nil"/>
            </w:tcBorders>
            <w:shd w:val="clear" w:color="auto" w:fill="FFFFFF"/>
            <w:noWrap/>
            <w:vAlign w:val="center"/>
          </w:tcPr>
          <w:p w14:paraId="3CC755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&gt;5km</w:t>
            </w:r>
          </w:p>
        </w:tc>
        <w:tc>
          <w:tcPr>
            <w:tcW w:w="0" w:type="auto"/>
            <w:tcBorders>
              <w:top w:val="nil"/>
              <w:left w:val="nil"/>
              <w:bottom w:val="single" w:color="auto" w:sz="4" w:space="0"/>
              <w:right w:val="nil"/>
            </w:tcBorders>
            <w:shd w:val="clear" w:color="auto" w:fill="FFFFFF"/>
            <w:noWrap/>
            <w:vAlign w:val="center"/>
          </w:tcPr>
          <w:p w14:paraId="52B6953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w:t>
            </w:r>
          </w:p>
        </w:tc>
        <w:tc>
          <w:tcPr>
            <w:tcW w:w="0" w:type="auto"/>
            <w:tcBorders>
              <w:top w:val="nil"/>
              <w:left w:val="nil"/>
              <w:bottom w:val="single" w:color="auto" w:sz="4" w:space="0"/>
              <w:right w:val="nil"/>
            </w:tcBorders>
            <w:shd w:val="clear" w:color="auto" w:fill="FFFFFF"/>
            <w:noWrap/>
            <w:vAlign w:val="center"/>
          </w:tcPr>
          <w:p w14:paraId="47D9CD4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w:t>
            </w:r>
          </w:p>
        </w:tc>
        <w:tc>
          <w:tcPr>
            <w:tcW w:w="0" w:type="auto"/>
            <w:tcBorders>
              <w:top w:val="nil"/>
              <w:left w:val="nil"/>
              <w:bottom w:val="single" w:color="auto" w:sz="4" w:space="0"/>
              <w:right w:val="nil"/>
            </w:tcBorders>
            <w:shd w:val="clear" w:color="auto" w:fill="FFFFFF"/>
            <w:noWrap/>
            <w:vAlign w:val="center"/>
          </w:tcPr>
          <w:p w14:paraId="5FCF5F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r w14:paraId="38487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auto" w:sz="4" w:space="0"/>
              <w:left w:val="nil"/>
              <w:bottom w:val="nil"/>
              <w:right w:val="nil"/>
            </w:tcBorders>
            <w:shd w:val="clear" w:color="auto" w:fill="FFFFFF"/>
            <w:noWrap/>
            <w:vAlign w:val="center"/>
          </w:tcPr>
          <w:p w14:paraId="37E8CA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冲突经历</w:t>
            </w:r>
          </w:p>
        </w:tc>
        <w:tc>
          <w:tcPr>
            <w:tcW w:w="0" w:type="auto"/>
            <w:tcBorders>
              <w:top w:val="single" w:color="auto" w:sz="4" w:space="0"/>
              <w:left w:val="nil"/>
              <w:bottom w:val="nil"/>
              <w:right w:val="nil"/>
            </w:tcBorders>
            <w:shd w:val="clear" w:color="auto" w:fill="FFFFFF"/>
            <w:noWrap/>
            <w:vAlign w:val="center"/>
          </w:tcPr>
          <w:p w14:paraId="4EB796E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w:t>
            </w:r>
          </w:p>
        </w:tc>
        <w:tc>
          <w:tcPr>
            <w:tcW w:w="0" w:type="auto"/>
            <w:tcBorders>
              <w:top w:val="single" w:color="auto" w:sz="4" w:space="0"/>
              <w:left w:val="nil"/>
              <w:bottom w:val="nil"/>
              <w:right w:val="nil"/>
            </w:tcBorders>
            <w:shd w:val="clear" w:color="auto" w:fill="FFFFFF"/>
            <w:noWrap/>
            <w:vAlign w:val="center"/>
          </w:tcPr>
          <w:p w14:paraId="218A1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102</w:t>
            </w:r>
          </w:p>
        </w:tc>
        <w:tc>
          <w:tcPr>
            <w:tcW w:w="0" w:type="auto"/>
            <w:tcBorders>
              <w:top w:val="single" w:color="auto" w:sz="4" w:space="0"/>
              <w:left w:val="nil"/>
              <w:bottom w:val="nil"/>
              <w:right w:val="nil"/>
            </w:tcBorders>
            <w:shd w:val="clear" w:color="auto" w:fill="FFFFFF"/>
            <w:noWrap/>
            <w:vAlign w:val="center"/>
          </w:tcPr>
          <w:p w14:paraId="0E62FF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c>
          <w:tcPr>
            <w:tcW w:w="0" w:type="auto"/>
            <w:tcBorders>
              <w:top w:val="single" w:color="auto" w:sz="4" w:space="0"/>
              <w:left w:val="nil"/>
              <w:bottom w:val="nil"/>
              <w:right w:val="nil"/>
            </w:tcBorders>
            <w:shd w:val="clear" w:color="auto" w:fill="FFFFFF"/>
            <w:noWrap/>
            <w:vAlign w:val="center"/>
          </w:tcPr>
          <w:p w14:paraId="6974CC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w:t>
            </w:r>
          </w:p>
        </w:tc>
      </w:tr>
      <w:tr w14:paraId="156A4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0696EB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noWrap/>
            <w:vAlign w:val="center"/>
          </w:tcPr>
          <w:p w14:paraId="2D797C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w:t>
            </w:r>
          </w:p>
        </w:tc>
        <w:tc>
          <w:tcPr>
            <w:tcW w:w="0" w:type="auto"/>
            <w:tcBorders>
              <w:top w:val="nil"/>
              <w:left w:val="nil"/>
              <w:bottom w:val="single" w:color="000000" w:sz="4" w:space="0"/>
              <w:right w:val="nil"/>
            </w:tcBorders>
            <w:shd w:val="clear" w:color="auto" w:fill="FFFFFF"/>
            <w:noWrap/>
            <w:vAlign w:val="center"/>
          </w:tcPr>
          <w:p w14:paraId="1E73C3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130</w:t>
            </w:r>
          </w:p>
        </w:tc>
        <w:tc>
          <w:tcPr>
            <w:tcW w:w="0" w:type="auto"/>
            <w:tcBorders>
              <w:top w:val="nil"/>
              <w:left w:val="nil"/>
              <w:bottom w:val="single" w:color="000000" w:sz="4" w:space="0"/>
              <w:right w:val="nil"/>
            </w:tcBorders>
            <w:shd w:val="clear" w:color="auto" w:fill="FFFFFF"/>
            <w:noWrap/>
            <w:vAlign w:val="center"/>
          </w:tcPr>
          <w:p w14:paraId="7F1B8FC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56</w:t>
            </w:r>
          </w:p>
        </w:tc>
        <w:tc>
          <w:tcPr>
            <w:tcW w:w="0" w:type="auto"/>
            <w:tcBorders>
              <w:top w:val="nil"/>
              <w:left w:val="nil"/>
              <w:bottom w:val="single" w:color="000000" w:sz="4" w:space="0"/>
              <w:right w:val="nil"/>
            </w:tcBorders>
            <w:shd w:val="clear" w:color="auto" w:fill="FFFFFF"/>
            <w:noWrap/>
            <w:vAlign w:val="center"/>
          </w:tcPr>
          <w:p w14:paraId="0B1FF27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100</w:t>
            </w:r>
          </w:p>
        </w:tc>
      </w:tr>
    </w:tbl>
    <w:p w14:paraId="6B568400">
      <w:pPr>
        <w:pStyle w:val="4"/>
        <w:jc w:val="both"/>
        <w:rPr>
          <w:rFonts w:hint="eastAsia" w:ascii="Times New Roman" w:hAnsi="Times New Roman" w:cs="Times New Roman"/>
          <w:lang w:val="en-US" w:eastAsia="zh-CN"/>
        </w:rPr>
      </w:pPr>
    </w:p>
    <w:p w14:paraId="0AD793E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2</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结构方程模型分析</w:t>
      </w:r>
    </w:p>
    <w:p w14:paraId="01B890C3">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（1）验证性因子分析</w:t>
      </w:r>
    </w:p>
    <w:p>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验证性因子分析是检验测量模型质量的首要步骤。在进行验证性因子分析之前，首先检验了数据的多变量正态性。偏度系数范围为-0.82至0.69，峰度系数范围为-1.14至1.38，均在可接受范围内，且数据基本满足多变量正态分布假设。初始测量模型包含8个潜变量和43个观测变量。模型识别性检验显示，自由度df=832，大于0，模型过度识别。初始模型拟合指标为：χ²=1426.38，df=832，χ²/df=1.71，CFI=0.936，TLI=0.929，RMSEA=0.033（90%CI:0.030-0.036），SRMR=0.045。虽然整体拟合可接受，但部分指标未达到优秀标准</w:t>
      </w:r>
      <w:r>
        <w:rPr>
          <w:rFonts w:hint="default" w:ascii="Times New Roman" w:hAnsi="Times New Roman" w:cs="Times New Roman"/>
          <w:lang w:val="en-US" w:eastAsia="zh-CN"/>
          <w:vertAlign w:val="superscript"/>
        </w:rPr>
        <w:t xml:space="preserve">[66]</w:t>
      </w:r>
      <w:r>
        <w:rPr>
          <w:rFonts w:hint="default" w:ascii="Times New Roman" w:hAnsi="Times New Roman" w:cs="Times New Roman"/>
          <w:lang w:val="en-US" w:eastAsia="zh-CN"/>
        </w:rPr>
        <w:t xml:space="preserve">（CFI和TLI&amp;amp;lt;0.95）。</w:t>
      </w:r>
    </w:p>
    <w:p>
      <w:pPr>
        <w:pStyle w:val="4"/>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对标准化因子载荷开展检视后发现，有4个题项的载荷低于0.60，分别为SN4（0.52）PEU5（0.54）PCE4（0.48）BI6（0.56）。修正指数（MI）表明，部分题项的误差项存在较高相关性，尤其是AT1与AT2的误差相关（MI=32.45）PBC3与PBC4的误差相关（MI=28.76）。这有可能是由题项措辞相近所引发的方法因子效应。基于理论考量和统计指标，研究者删除了因子载荷较低的4个题项，并允许3对误差项相关。修正后的测量模型涵盖39个题项，拟合情况得到显著改善。标准化因子载荷处于0.61-0.89区间，平均值为0.74，且所有载荷在p&amp;lt;0.001水平上显著。信度检验运用了多个指标。各高校共享道路交通安全行为研究要素的Cronbach'sα系数分别为：安全态度0.878、主观规范0.812、知觉行为控制0.856、感知有用性0.834、感知易用性0.798、风险感知0.867、过往冲突经历0.789、行为意图0.891，均超出0.70的标准。组合信度（CR）范围为0.801-0.894</w:t>
      </w:r>
      <w:r>
        <w:rPr>
          <w:rFonts w:hint="eastAsia" w:ascii="Times New Roman" w:hAnsi="Times New Roman" w:cs="Times New Roman"/>
          <w:lang w:val="en-US" w:eastAsia="zh-CN"/>
          <w:vertAlign w:val="superscript"/>
        </w:rPr>
        <w:t xml:space="preserve">[67]</w:t>
      </w:r>
      <w:r>
        <w:rPr>
          <w:rFonts w:hint="eastAsia" w:ascii="Times New Roman" w:hAnsi="Times New Roman" w:cs="Times New Roman"/>
          <w:lang w:val="en-US" w:eastAsia="zh-CN"/>
        </w:rPr>
        <w:t xml:space="preserve">，平均方差萃取量（AVE）范围为0.512-0.687</w:t>
      </w:r>
      <w:r>
        <w:rPr>
          <w:rFonts w:hint="eastAsia" w:ascii="Times New Roman" w:hAnsi="Times New Roman" w:cs="Times New Roman"/>
          <w:lang w:val="en-US" w:eastAsia="zh-CN"/>
          <w:vertAlign w:val="superscript"/>
        </w:rPr>
        <w:t xml:space="preserve">[68]</w:t>
      </w:r>
      <w:r>
        <w:rPr>
          <w:rFonts w:hint="eastAsia" w:ascii="Times New Roman" w:hAnsi="Times New Roman" w:cs="Times New Roman"/>
          <w:lang w:val="en-US" w:eastAsia="zh-CN"/>
        </w:rPr>
        <w:t xml:space="preserve">，这表明测量模型具备良好的内部一致性和收敛效度。此外，将AVE平方根与高校共享道路交通安全行为研究要素间相关系数进行比较，所有要素的AVE（0.716-0.829）均大于与其他高校共享道路交通安全行为研究要素的相关系数（最大值为0.624），以上结果表明测量模型的区分效尚可。</w:t>
      </w:r>
    </w:p>
    <w:p w14:paraId="2C11BB09">
      <w:pPr>
        <w:pStyle w:val="4"/>
        <w:jc w:val="both"/>
        <w:rPr>
          <w:rFonts w:hint="default" w:ascii="Times New Roman" w:hAnsi="Times New Roman" w:cs="Times New Roman"/>
          <w:lang w:val="en-US" w:eastAsia="zh-CN"/>
        </w:rPr>
      </w:pPr>
    </w:p>
    <w:p w14:paraId="17C76880">
      <w:pPr>
        <w:pStyle w:val="4"/>
        <w:jc w:val="both"/>
        <w:rPr>
          <w:rFonts w:hint="default" w:ascii="Times New Roman" w:hAnsi="Times New Roman" w:cs="Times New Roman"/>
          <w:lang w:val="en-US" w:eastAsia="zh-CN"/>
        </w:rPr>
      </w:pPr>
    </w:p>
    <w:p w14:paraId="2411C49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（2）路径</w:t>
      </w:r>
      <w:r>
        <w:rPr>
          <w:rFonts w:hint="eastAsia" w:ascii="黑体" w:hAnsi="黑体" w:eastAsia="黑体" w:cs="黑体"/>
          <w:lang w:val="en-US" w:eastAsia="zh-CN"/>
        </w:rPr>
        <w:t>数据分析</w:t>
      </w:r>
    </w:p>
    <w:p w14:paraId="2C54AA4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结构模型的路径分析旨在检验高校共享道路交通安全行为研究要素间的因果关系。基于理论框架，我们设定了9条直接路径和3条主要间接路径。结构模型的拟合指标为：χ²=1034.27，df=694，χ²/df=1.49，CFI=0.957，TLI=0.953，RMSEA=0.028，SRMR=0.048，表明模型与数据拟合良好。</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直接路径的检验结果显示，9条直接路径中有7条达到显著水平（如表16所示）。具体结果如下：（1）安全态度→行为意图（β=0.284，SE=0.046，CR=6.174，p&amp;amp;amp;lt;0.001）；（2）主观规范→行为意图（β=0.156，SE=0.042，CR=3.714，p&amp;amp;amp;lt;0.001）；（3）知觉行为控制→行为意图（β=0.238，SE=0.044，CR=5.409，p&amp;amp;amp;lt;0.001）；（4）感知有用性→行为意图（β=0.142，SE=0.048，CR=2.958，p&amp;amp;amp;lt;0.01）；（5）感知易用性→知觉行为控制（β=0.367，SE=0.052，CR=7.058，p&amp;amp;amp;lt;0.001）；（6）风险感知→安全态度（β=0.428，SE=0.049，CR=8.735，p&amp;amp;amp;lt;0.001）；（7）风险感知→行为意图（β=0.087，SE=0.051，CR=1.706，p=0.088），未达到显著水平；（8）过往冲突经历→风险感知（β=0.512，SE=0.047，CR=10.894，p&amp;amp;amp;lt;0.001）；（9）感知易用性→行为意图（β=0.068，SE=0.045，CR=1.511，p=0.131），H9未达到显著水平。</w:t>
      </w:r>
    </w:p>
    <w:p w14:paraId="29D41880">
      <w:pPr>
        <w:pStyle w:val="4"/>
        <w:keepNext w:val="0"/>
        <w:keepLines w:val="0"/>
        <w:pageBreakBefore w:val="0"/>
        <w:widowControl/>
        <w:kinsoku/>
        <w:wordWrap/>
        <w:overflowPunct/>
        <w:topLinePunct w:val="0"/>
        <w:autoSpaceDE/>
        <w:autoSpaceDN/>
        <w:bidi w:val="0"/>
        <w:adjustRightInd/>
        <w:snapToGrid/>
        <w:spacing w:before="0" w:after="0"/>
        <w:ind w:left="0" w:leftChars="0" w:firstLine="480" w:firstLineChars="200"/>
        <w:jc w:val="both"/>
        <w:textAlignment w:val="auto"/>
        <w:rPr>
          <w:rFonts w:hint="default" w:ascii="Times New Roman" w:hAnsi="Times New Roman" w:eastAsia="宋体"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表16 直接路径系数</w:t>
      </w:r>
    </w:p>
    <w:tbl>
      <w:tblPr>
        <w:tblStyle w:val="8"/>
        <w:tblW w:w="77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64"/>
        <w:gridCol w:w="2030"/>
        <w:gridCol w:w="1835"/>
        <w:gridCol w:w="1888"/>
        <w:gridCol w:w="892"/>
      </w:tblGrid>
      <w:tr w14:paraId="01840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74BF5B04">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0" w:type="auto"/>
            <w:tcBorders>
              <w:top w:val="single" w:color="000000" w:sz="4" w:space="0"/>
              <w:left w:val="nil"/>
              <w:bottom w:val="single" w:color="000000" w:sz="12" w:space="0"/>
              <w:right w:val="nil"/>
            </w:tcBorders>
            <w:shd w:val="clear" w:color="auto" w:fill="FFFFFF"/>
            <w:noWrap/>
            <w:vAlign w:val="center"/>
          </w:tcPr>
          <w:p w14:paraId="64C3737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标准化系数（β）</w:t>
            </w:r>
          </w:p>
        </w:tc>
        <w:tc>
          <w:tcPr>
            <w:tcW w:w="0" w:type="auto"/>
            <w:tcBorders>
              <w:top w:val="single" w:color="000000" w:sz="4" w:space="0"/>
              <w:left w:val="nil"/>
              <w:bottom w:val="single" w:color="000000" w:sz="12" w:space="0"/>
              <w:right w:val="nil"/>
            </w:tcBorders>
            <w:shd w:val="clear" w:color="auto" w:fill="FFFFFF"/>
            <w:noWrap/>
            <w:vAlign w:val="center"/>
          </w:tcPr>
          <w:p w14:paraId="21E4E85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标准误（S.E.）</w:t>
            </w:r>
          </w:p>
        </w:tc>
        <w:tc>
          <w:tcPr>
            <w:tcW w:w="0" w:type="auto"/>
            <w:tcBorders>
              <w:top w:val="single" w:color="000000" w:sz="4" w:space="0"/>
              <w:left w:val="nil"/>
              <w:bottom w:val="single" w:color="000000" w:sz="12" w:space="0"/>
              <w:right w:val="nil"/>
            </w:tcBorders>
            <w:shd w:val="clear" w:color="auto" w:fill="FFFFFF"/>
            <w:noWrap/>
            <w:vAlign w:val="center"/>
          </w:tcPr>
          <w:p w14:paraId="6EB4119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临界比（C.R.）</w:t>
            </w:r>
          </w:p>
        </w:tc>
        <w:tc>
          <w:tcPr>
            <w:tcW w:w="0" w:type="auto"/>
            <w:tcBorders>
              <w:top w:val="single" w:color="000000" w:sz="4" w:space="0"/>
              <w:left w:val="nil"/>
              <w:bottom w:val="single" w:color="000000" w:sz="12" w:space="0"/>
              <w:right w:val="nil"/>
            </w:tcBorders>
            <w:shd w:val="clear" w:color="auto" w:fill="FFFFFF"/>
            <w:noWrap/>
            <w:vAlign w:val="center"/>
          </w:tcPr>
          <w:p w14:paraId="7427C37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p值</w:t>
            </w:r>
          </w:p>
        </w:tc>
      </w:tr>
      <w:tr w14:paraId="0DAD4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2E7C6E0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AT→BI</w:t>
            </w:r>
          </w:p>
        </w:tc>
        <w:tc>
          <w:tcPr>
            <w:tcW w:w="0" w:type="auto"/>
            <w:tcBorders>
              <w:top w:val="single" w:color="000000" w:sz="12" w:space="0"/>
              <w:left w:val="nil"/>
              <w:bottom w:val="nil"/>
              <w:right w:val="nil"/>
            </w:tcBorders>
            <w:shd w:val="clear" w:color="auto" w:fill="FFFFFF"/>
            <w:noWrap/>
            <w:vAlign w:val="center"/>
          </w:tcPr>
          <w:p w14:paraId="739457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0.284***</w:t>
            </w:r>
          </w:p>
        </w:tc>
        <w:tc>
          <w:tcPr>
            <w:tcW w:w="0" w:type="auto"/>
            <w:tcBorders>
              <w:top w:val="single" w:color="000000" w:sz="12" w:space="0"/>
              <w:left w:val="nil"/>
              <w:bottom w:val="nil"/>
              <w:right w:val="nil"/>
            </w:tcBorders>
            <w:shd w:val="clear" w:color="auto" w:fill="FFFFFF"/>
            <w:noWrap/>
            <w:vAlign w:val="center"/>
          </w:tcPr>
          <w:p w14:paraId="56513E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0.046</w:t>
            </w:r>
          </w:p>
        </w:tc>
        <w:tc>
          <w:tcPr>
            <w:tcW w:w="0" w:type="auto"/>
            <w:tcBorders>
              <w:top w:val="single" w:color="000000" w:sz="12" w:space="0"/>
              <w:left w:val="nil"/>
              <w:bottom w:val="nil"/>
              <w:right w:val="nil"/>
            </w:tcBorders>
            <w:shd w:val="clear" w:color="auto" w:fill="FFFFFF"/>
            <w:noWrap/>
            <w:vAlign w:val="center"/>
          </w:tcPr>
          <w:p w14:paraId="7522015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6.174</w:t>
            </w:r>
          </w:p>
        </w:tc>
        <w:tc>
          <w:tcPr>
            <w:tcW w:w="0" w:type="auto"/>
            <w:tcBorders>
              <w:top w:val="single" w:color="000000" w:sz="12" w:space="0"/>
              <w:left w:val="nil"/>
              <w:bottom w:val="nil"/>
              <w:right w:val="nil"/>
            </w:tcBorders>
            <w:shd w:val="clear" w:color="auto" w:fill="FFFFFF"/>
            <w:noWrap/>
            <w:vAlign w:val="center"/>
          </w:tcPr>
          <w:p w14:paraId="2D64A7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11757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A86F5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0" w:type="auto"/>
            <w:tcBorders>
              <w:top w:val="nil"/>
              <w:left w:val="nil"/>
              <w:bottom w:val="nil"/>
              <w:right w:val="nil"/>
            </w:tcBorders>
            <w:shd w:val="clear" w:color="auto" w:fill="FFFFFF"/>
            <w:noWrap/>
            <w:vAlign w:val="center"/>
          </w:tcPr>
          <w:p w14:paraId="1BAF5B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0.156***</w:t>
            </w:r>
          </w:p>
        </w:tc>
        <w:tc>
          <w:tcPr>
            <w:tcW w:w="0" w:type="auto"/>
            <w:tcBorders>
              <w:top w:val="nil"/>
              <w:left w:val="nil"/>
              <w:bottom w:val="nil"/>
              <w:right w:val="nil"/>
            </w:tcBorders>
            <w:shd w:val="clear" w:color="auto" w:fill="FFFFFF"/>
            <w:noWrap/>
            <w:vAlign w:val="center"/>
          </w:tcPr>
          <w:p w14:paraId="6338B5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0.042</w:t>
            </w:r>
          </w:p>
        </w:tc>
        <w:tc>
          <w:tcPr>
            <w:tcW w:w="0" w:type="auto"/>
            <w:tcBorders>
              <w:top w:val="nil"/>
              <w:left w:val="nil"/>
              <w:bottom w:val="nil"/>
              <w:right w:val="nil"/>
            </w:tcBorders>
            <w:shd w:val="clear" w:color="auto" w:fill="FFFFFF"/>
            <w:noWrap/>
            <w:vAlign w:val="center"/>
          </w:tcPr>
          <w:p w14:paraId="79FADE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3.714</w:t>
            </w:r>
          </w:p>
        </w:tc>
        <w:tc>
          <w:tcPr>
            <w:tcW w:w="0" w:type="auto"/>
            <w:tcBorders>
              <w:top w:val="nil"/>
              <w:left w:val="nil"/>
              <w:bottom w:val="nil"/>
              <w:right w:val="nil"/>
            </w:tcBorders>
            <w:shd w:val="clear" w:color="auto" w:fill="FFFFFF"/>
            <w:noWrap/>
            <w:vAlign w:val="center"/>
          </w:tcPr>
          <w:p w14:paraId="75052B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F88E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9C188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0" w:type="auto"/>
            <w:tcBorders>
              <w:top w:val="nil"/>
              <w:left w:val="nil"/>
              <w:bottom w:val="nil"/>
              <w:right w:val="nil"/>
            </w:tcBorders>
            <w:shd w:val="clear" w:color="auto" w:fill="FFFFFF"/>
            <w:noWrap/>
            <w:vAlign w:val="center"/>
          </w:tcPr>
          <w:p w14:paraId="3440C8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0.238***</w:t>
            </w:r>
          </w:p>
        </w:tc>
        <w:tc>
          <w:tcPr>
            <w:tcW w:w="0" w:type="auto"/>
            <w:tcBorders>
              <w:top w:val="nil"/>
              <w:left w:val="nil"/>
              <w:bottom w:val="nil"/>
              <w:right w:val="nil"/>
            </w:tcBorders>
            <w:shd w:val="clear" w:color="auto" w:fill="FFFFFF"/>
            <w:noWrap/>
            <w:vAlign w:val="center"/>
          </w:tcPr>
          <w:p w14:paraId="428C5E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0.044</w:t>
            </w:r>
          </w:p>
        </w:tc>
        <w:tc>
          <w:tcPr>
            <w:tcW w:w="0" w:type="auto"/>
            <w:tcBorders>
              <w:top w:val="nil"/>
              <w:left w:val="nil"/>
              <w:bottom w:val="nil"/>
              <w:right w:val="nil"/>
            </w:tcBorders>
            <w:shd w:val="clear" w:color="auto" w:fill="FFFFFF"/>
            <w:noWrap/>
            <w:vAlign w:val="center"/>
          </w:tcPr>
          <w:p w14:paraId="079188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5.409</w:t>
            </w:r>
          </w:p>
        </w:tc>
        <w:tc>
          <w:tcPr>
            <w:tcW w:w="0" w:type="auto"/>
            <w:tcBorders>
              <w:top w:val="nil"/>
              <w:left w:val="nil"/>
              <w:bottom w:val="nil"/>
              <w:right w:val="nil"/>
            </w:tcBorders>
            <w:shd w:val="clear" w:color="auto" w:fill="FFFFFF"/>
            <w:noWrap/>
            <w:vAlign w:val="center"/>
          </w:tcPr>
          <w:p w14:paraId="102FEF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9EA2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7C4FE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0" w:type="auto"/>
            <w:tcBorders>
              <w:top w:val="nil"/>
              <w:left w:val="nil"/>
              <w:bottom w:val="nil"/>
              <w:right w:val="nil"/>
            </w:tcBorders>
            <w:shd w:val="clear" w:color="auto" w:fill="FFFFFF"/>
            <w:noWrap/>
            <w:vAlign w:val="center"/>
          </w:tcPr>
          <w:p w14:paraId="743594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0.142**</w:t>
            </w:r>
          </w:p>
        </w:tc>
        <w:tc>
          <w:tcPr>
            <w:tcW w:w="0" w:type="auto"/>
            <w:tcBorders>
              <w:top w:val="nil"/>
              <w:left w:val="nil"/>
              <w:bottom w:val="nil"/>
              <w:right w:val="nil"/>
            </w:tcBorders>
            <w:shd w:val="clear" w:color="auto" w:fill="FFFFFF"/>
            <w:noWrap/>
            <w:vAlign w:val="center"/>
          </w:tcPr>
          <w:p w14:paraId="4BBFDD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0.048</w:t>
            </w:r>
          </w:p>
        </w:tc>
        <w:tc>
          <w:tcPr>
            <w:tcW w:w="0" w:type="auto"/>
            <w:tcBorders>
              <w:top w:val="nil"/>
              <w:left w:val="nil"/>
              <w:bottom w:val="nil"/>
              <w:right w:val="nil"/>
            </w:tcBorders>
            <w:shd w:val="clear" w:color="auto" w:fill="FFFFFF"/>
            <w:noWrap/>
            <w:vAlign w:val="center"/>
          </w:tcPr>
          <w:p w14:paraId="4C9698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2.958</w:t>
            </w:r>
          </w:p>
        </w:tc>
        <w:tc>
          <w:tcPr>
            <w:tcW w:w="0" w:type="auto"/>
            <w:tcBorders>
              <w:top w:val="nil"/>
              <w:left w:val="nil"/>
              <w:bottom w:val="nil"/>
              <w:right w:val="nil"/>
            </w:tcBorders>
            <w:shd w:val="clear" w:color="auto" w:fill="FFFFFF"/>
            <w:noWrap/>
            <w:vAlign w:val="center"/>
          </w:tcPr>
          <w:p w14:paraId="271FCDA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0.003</w:t>
            </w:r>
          </w:p>
        </w:tc>
      </w:tr>
      <w:tr w14:paraId="09059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28D30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0" w:type="auto"/>
            <w:tcBorders>
              <w:top w:val="nil"/>
              <w:left w:val="nil"/>
              <w:bottom w:val="nil"/>
              <w:right w:val="nil"/>
            </w:tcBorders>
            <w:shd w:val="clear" w:color="auto" w:fill="FFFFFF"/>
            <w:noWrap/>
            <w:vAlign w:val="center"/>
          </w:tcPr>
          <w:p w14:paraId="53C6A07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0.367***</w:t>
            </w:r>
          </w:p>
        </w:tc>
        <w:tc>
          <w:tcPr>
            <w:tcW w:w="0" w:type="auto"/>
            <w:tcBorders>
              <w:top w:val="nil"/>
              <w:left w:val="nil"/>
              <w:bottom w:val="nil"/>
              <w:right w:val="nil"/>
            </w:tcBorders>
            <w:shd w:val="clear" w:color="auto" w:fill="FFFFFF"/>
            <w:noWrap/>
            <w:vAlign w:val="center"/>
          </w:tcPr>
          <w:p w14:paraId="5FE2FB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0" w:type="auto"/>
            <w:tcBorders>
              <w:top w:val="nil"/>
              <w:left w:val="nil"/>
              <w:bottom w:val="nil"/>
              <w:right w:val="nil"/>
            </w:tcBorders>
            <w:shd w:val="clear" w:color="auto" w:fill="FFFFFF"/>
            <w:noWrap/>
            <w:vAlign w:val="center"/>
          </w:tcPr>
          <w:p w14:paraId="79AC01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7.058</w:t>
            </w:r>
          </w:p>
        </w:tc>
        <w:tc>
          <w:tcPr>
            <w:tcW w:w="0" w:type="auto"/>
            <w:tcBorders>
              <w:top w:val="nil"/>
              <w:left w:val="nil"/>
              <w:bottom w:val="nil"/>
              <w:right w:val="nil"/>
            </w:tcBorders>
            <w:shd w:val="clear" w:color="auto" w:fill="FFFFFF"/>
            <w:noWrap/>
            <w:vAlign w:val="center"/>
          </w:tcPr>
          <w:p w14:paraId="60F06C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747FB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2956B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RP→AT</w:t>
            </w:r>
          </w:p>
        </w:tc>
        <w:tc>
          <w:tcPr>
            <w:tcW w:w="0" w:type="auto"/>
            <w:tcBorders>
              <w:top w:val="nil"/>
              <w:left w:val="nil"/>
              <w:bottom w:val="nil"/>
              <w:right w:val="nil"/>
            </w:tcBorders>
            <w:shd w:val="clear" w:color="auto" w:fill="FFFFFF"/>
            <w:noWrap/>
            <w:vAlign w:val="center"/>
          </w:tcPr>
          <w:p w14:paraId="523522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c>
          <w:tcPr>
            <w:tcW w:w="0" w:type="auto"/>
            <w:tcBorders>
              <w:top w:val="nil"/>
              <w:left w:val="nil"/>
              <w:bottom w:val="nil"/>
              <w:right w:val="nil"/>
            </w:tcBorders>
            <w:shd w:val="clear" w:color="auto" w:fill="FFFFFF"/>
            <w:noWrap/>
            <w:vAlign w:val="center"/>
          </w:tcPr>
          <w:p w14:paraId="661EA1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0.049</w:t>
            </w:r>
          </w:p>
        </w:tc>
        <w:tc>
          <w:tcPr>
            <w:tcW w:w="0" w:type="auto"/>
            <w:tcBorders>
              <w:top w:val="nil"/>
              <w:left w:val="nil"/>
              <w:bottom w:val="nil"/>
              <w:right w:val="nil"/>
            </w:tcBorders>
            <w:shd w:val="clear" w:color="auto" w:fill="FFFFFF"/>
            <w:noWrap/>
            <w:vAlign w:val="center"/>
          </w:tcPr>
          <w:p w14:paraId="2F148A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8.735</w:t>
            </w:r>
          </w:p>
        </w:tc>
        <w:tc>
          <w:tcPr>
            <w:tcW w:w="0" w:type="auto"/>
            <w:tcBorders>
              <w:top w:val="nil"/>
              <w:left w:val="nil"/>
              <w:bottom w:val="nil"/>
              <w:right w:val="nil"/>
            </w:tcBorders>
            <w:shd w:val="clear" w:color="auto" w:fill="FFFFFF"/>
            <w:noWrap/>
            <w:vAlign w:val="center"/>
          </w:tcPr>
          <w:p w14:paraId="01F578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35E84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auto"/>
            <w:noWrap/>
            <w:vAlign w:val="center"/>
          </w:tcPr>
          <w:p w14:paraId="3182D2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0" w:type="auto"/>
            <w:tcBorders>
              <w:top w:val="nil"/>
              <w:left w:val="nil"/>
              <w:bottom w:val="nil"/>
              <w:right w:val="nil"/>
            </w:tcBorders>
            <w:shd w:val="clear" w:color="auto" w:fill="auto"/>
            <w:noWrap/>
            <w:vAlign w:val="center"/>
          </w:tcPr>
          <w:p w14:paraId="35C6A23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0.087</w:t>
            </w:r>
          </w:p>
        </w:tc>
        <w:tc>
          <w:tcPr>
            <w:tcW w:w="0" w:type="auto"/>
            <w:tcBorders>
              <w:top w:val="nil"/>
              <w:left w:val="nil"/>
              <w:bottom w:val="nil"/>
              <w:right w:val="nil"/>
            </w:tcBorders>
            <w:shd w:val="clear" w:color="auto" w:fill="auto"/>
            <w:noWrap/>
            <w:vAlign w:val="center"/>
          </w:tcPr>
          <w:p w14:paraId="189A78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0" w:type="auto"/>
            <w:tcBorders>
              <w:top w:val="nil"/>
              <w:left w:val="nil"/>
              <w:bottom w:val="nil"/>
              <w:right w:val="nil"/>
            </w:tcBorders>
            <w:shd w:val="clear" w:color="auto" w:fill="auto"/>
            <w:noWrap/>
            <w:vAlign w:val="center"/>
          </w:tcPr>
          <w:p w14:paraId="6CAE4A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1.706</w:t>
            </w:r>
          </w:p>
        </w:tc>
        <w:tc>
          <w:tcPr>
            <w:tcW w:w="0" w:type="auto"/>
            <w:tcBorders>
              <w:top w:val="nil"/>
              <w:left w:val="nil"/>
              <w:bottom w:val="nil"/>
              <w:right w:val="nil"/>
            </w:tcBorders>
            <w:shd w:val="clear" w:color="auto" w:fill="auto"/>
            <w:noWrap/>
            <w:vAlign w:val="center"/>
          </w:tcPr>
          <w:p w14:paraId="50599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0.088</w:t>
            </w:r>
          </w:p>
        </w:tc>
      </w:tr>
      <w:tr w14:paraId="17962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11A58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0" w:type="auto"/>
            <w:tcBorders>
              <w:top w:val="nil"/>
              <w:left w:val="nil"/>
              <w:bottom w:val="nil"/>
              <w:right w:val="nil"/>
            </w:tcBorders>
            <w:shd w:val="clear" w:color="auto" w:fill="FFFFFF"/>
            <w:noWrap/>
            <w:vAlign w:val="center"/>
          </w:tcPr>
          <w:p w14:paraId="192447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0.512***</w:t>
            </w:r>
          </w:p>
        </w:tc>
        <w:tc>
          <w:tcPr>
            <w:tcW w:w="0" w:type="auto"/>
            <w:tcBorders>
              <w:top w:val="nil"/>
              <w:left w:val="nil"/>
              <w:bottom w:val="nil"/>
              <w:right w:val="nil"/>
            </w:tcBorders>
            <w:shd w:val="clear" w:color="auto" w:fill="FFFFFF"/>
            <w:noWrap/>
            <w:vAlign w:val="center"/>
          </w:tcPr>
          <w:p w14:paraId="246126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0.047</w:t>
            </w:r>
          </w:p>
        </w:tc>
        <w:tc>
          <w:tcPr>
            <w:tcW w:w="0" w:type="auto"/>
            <w:tcBorders>
              <w:top w:val="nil"/>
              <w:left w:val="nil"/>
              <w:bottom w:val="nil"/>
              <w:right w:val="nil"/>
            </w:tcBorders>
            <w:shd w:val="clear" w:color="auto" w:fill="FFFFFF"/>
            <w:noWrap/>
            <w:vAlign w:val="center"/>
          </w:tcPr>
          <w:p w14:paraId="52BA8E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10.894</w:t>
            </w:r>
          </w:p>
        </w:tc>
        <w:tc>
          <w:tcPr>
            <w:tcW w:w="0" w:type="auto"/>
            <w:tcBorders>
              <w:top w:val="nil"/>
              <w:left w:val="nil"/>
              <w:bottom w:val="nil"/>
              <w:right w:val="nil"/>
            </w:tcBorders>
            <w:shd w:val="clear" w:color="auto" w:fill="FFFFFF"/>
            <w:noWrap/>
            <w:vAlign w:val="center"/>
          </w:tcPr>
          <w:p w14:paraId="78559E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&lt;0.001</w:t>
            </w:r>
          </w:p>
        </w:tc>
      </w:tr>
      <w:tr w14:paraId="57235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auto"/>
            <w:noWrap/>
            <w:vAlign w:val="center"/>
          </w:tcPr>
          <w:p w14:paraId="21D12A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0" w:type="auto"/>
            <w:tcBorders>
              <w:top w:val="nil"/>
              <w:left w:val="nil"/>
              <w:bottom w:val="single" w:color="000000" w:sz="4" w:space="0"/>
              <w:right w:val="nil"/>
            </w:tcBorders>
            <w:shd w:val="clear" w:color="auto" w:fill="auto"/>
            <w:noWrap/>
            <w:vAlign w:val="center"/>
          </w:tcPr>
          <w:p w14:paraId="5483D7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0" w:type="auto"/>
            <w:tcBorders>
              <w:top w:val="nil"/>
              <w:left w:val="nil"/>
              <w:bottom w:val="single" w:color="000000" w:sz="4" w:space="0"/>
              <w:right w:val="nil"/>
            </w:tcBorders>
            <w:shd w:val="clear" w:color="auto" w:fill="auto"/>
            <w:noWrap/>
            <w:vAlign w:val="center"/>
          </w:tcPr>
          <w:p w14:paraId="18B7BE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w:t>
            </w:r>
          </w:p>
        </w:tc>
        <w:tc>
          <w:tcPr>
            <w:tcW w:w="0" w:type="auto"/>
            <w:tcBorders>
              <w:top w:val="nil"/>
              <w:left w:val="nil"/>
              <w:bottom w:val="single" w:color="000000" w:sz="4" w:space="0"/>
              <w:right w:val="nil"/>
            </w:tcBorders>
            <w:shd w:val="clear" w:color="auto" w:fill="auto"/>
            <w:noWrap/>
            <w:vAlign w:val="center"/>
          </w:tcPr>
          <w:p w14:paraId="33E0C6F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1.511</w:t>
            </w:r>
          </w:p>
        </w:tc>
        <w:tc>
          <w:tcPr>
            <w:tcW w:w="0" w:type="auto"/>
            <w:tcBorders>
              <w:top w:val="nil"/>
              <w:left w:val="nil"/>
              <w:bottom w:val="single" w:color="000000" w:sz="4" w:space="0"/>
              <w:right w:val="nil"/>
            </w:tcBorders>
            <w:shd w:val="clear" w:color="auto" w:fill="auto"/>
            <w:noWrap/>
            <w:vAlign w:val="center"/>
          </w:tcPr>
          <w:p w14:paraId="16499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0.131</w:t>
            </w:r>
          </w:p>
        </w:tc>
      </w:tr>
    </w:tbl>
    <w:p w14:paraId="31A0A1E4">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p>
    <w:p w14:paraId="7B5D4652">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间接效应通过Bootstrap进行检验</w:t>
      </w:r>
      <w:r>
        <w:rPr>
          <w:rFonts w:hint="default" w:ascii="Times New Roman" w:hAnsi="Times New Roman" w:eastAsia="宋体" w:cs="Times New Roman"/>
          <w:lang w:eastAsia="zh-CN"/>
          <w:vertAlign w:val="superscript"/>
        </w:rPr>
        <w:t xml:space="preserve">[69]</w:t>
      </w:r>
      <w:r>
        <w:rPr>
          <w:rFonts w:hint="default" w:ascii="Times New Roman" w:hAnsi="Times New Roman" w:eastAsia="宋体" w:cs="Times New Roman"/>
          <w:lang w:eastAsia="zh-CN"/>
        </w:rPr>
        <w:t xml:space="preserve">。主要间接路径包括：（1）风险感知→安全态度→行为意图，安全态度的间接效应=0.122（95%CI:0.078-0.171），p&amp;lt;0.001；（2）感知易用性→知觉行为控制→行为意图，知觉行为控制间接效应=0.087（95%CI:0.054-0.126），p&amp;lt;0.001；（3）过往冲突经历→风险感知→安全态度→行为意图，风险感知间接效应=0.062（95%CI:0.039-0.091），p&amp;lt;0.001。这些间接效应揭示了变量间的作用机制。</w:t>
      </w:r>
    </w:p>
    <w:p w14:paraId="1AD9489D">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（3）多群组分析</w:t>
      </w:r>
    </w:p>
    <w:p>
      <w:pPr>
        <w:pStyle w:val="4"/>
        <w:numPr>
          <w:ilvl w:val="0"/>
          <w:numId w:val="0"/>
        </w:numPr>
        <w:ind w:firstLine="480" w:firstLineChars="200"/>
        <w:jc w:val="both"/>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 xml:space="preserve">多群组分析用于检验模型在行人和骑行者两个群体间的差异</w:t>
      </w:r>
      <w:r>
        <w:rPr>
          <w:rFonts w:hint="default" w:ascii="Times New Roman" w:hAnsi="Times New Roman" w:eastAsia="宋体" w:cs="Times New Roman"/>
          <w:lang w:eastAsia="zh-CN"/>
          <w:vertAlign w:val="superscript"/>
        </w:rPr>
        <w:t xml:space="preserve">[70]</w:t>
      </w:r>
      <w:r>
        <w:rPr>
          <w:rFonts w:hint="default" w:ascii="Times New Roman" w:hAnsi="Times New Roman" w:eastAsia="宋体" w:cs="Times New Roman"/>
          <w:lang w:eastAsia="zh-CN"/>
        </w:rPr>
        <w:t xml:space="preserve">，具体的组间差异分析呈现出颇具价值的研究发现（数据如表17所示）。</w:t>
      </w:r>
    </w:p>
    <w:p w14:paraId="0F772B65">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行人组中，安全态度对行为意图的影响（β=0.378）显著高于骑行者组（β=0.196），经差异检验，z=3.42，p&lt;0.001。这一结果表明，行人的行为决策更多地受到安全认知的驱动。风险感知对安全态度的影响在行人组（β=0.516）同样强于骑行者组（β=0.342），z=2.87，p&lt;0.01，此现象说明行人对风险更为敏感，更易于将风险转化为安全意识。</w:t>
      </w:r>
    </w:p>
    <w:p w14:paraId="36552F9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与之相反，骑行者组在</w:t>
      </w:r>
      <w:r>
        <w:rPr>
          <w:rFonts w:hint="eastAsia" w:ascii="Times New Roman" w:hAnsi="Times New Roman" w:cs="Times New Roman"/>
          <w:lang w:val="en-US" w:eastAsia="zh-CN"/>
        </w:rPr>
        <w:t>一</w:t>
      </w:r>
      <w:r>
        <w:rPr>
          <w:rFonts w:hint="default" w:ascii="Times New Roman" w:hAnsi="Times New Roman" w:eastAsia="宋体" w:cs="Times New Roman"/>
          <w:lang w:eastAsia="zh-CN"/>
        </w:rPr>
        <w:t>些路径关系上表现出更强的效应。知觉行为控制对行为意图的影响在骑行者组（β=0.324）强于行人组（β=0.158），z=2.96，p&lt;0.01，这反映出骑行者更依赖自我效能感。感知易用性对知觉行为控制的影响在骑行者组（β=0.456）亦强于行人组（β=0.287），z=2.54，p&lt;0.05，表明基础设施条件对骑行者的控制感影响更为显著。感知有用性对行为意图的直接影响在两组间无显著差异（行人β=0.134，骑行者β=0.149，z=0.31，p&gt;0.05）。</w:t>
      </w:r>
    </w:p>
    <w:p w14:paraId="67D79EDB">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模型在两组中的解释</w:t>
      </w:r>
      <w:r>
        <w:rPr>
          <w:rFonts w:hint="eastAsia" w:ascii="Times New Roman" w:hAnsi="Times New Roman" w:eastAsia="宋体" w:cs="Times New Roman"/>
          <w:lang w:eastAsia="zh-CN"/>
        </w:rPr>
        <w:t>效力</w:t>
      </w:r>
      <w:r>
        <w:rPr>
          <w:rFonts w:hint="default" w:ascii="Times New Roman" w:hAnsi="Times New Roman" w:eastAsia="宋体" w:cs="Times New Roman"/>
          <w:lang w:eastAsia="zh-CN"/>
        </w:rPr>
        <w:t>也存在差异。</w:t>
      </w:r>
      <w:r>
        <w:rPr>
          <w:rFonts w:hint="eastAsia" w:ascii="Times New Roman" w:hAnsi="Times New Roman" w:eastAsia="宋体" w:cs="Times New Roman"/>
          <w:lang w:eastAsia="zh-CN"/>
        </w:rPr>
        <w:t>行人组模型对行为意图方差的解释比例为52.</w:t>
      </w:r>
      <w:r>
        <w:rPr>
          <w:rFonts w:hint="default" w:ascii="Times New Roman" w:hAnsi="Times New Roman" w:eastAsia="宋体" w:cs="Times New Roman"/>
          <w:lang w:eastAsia="zh-CN"/>
        </w:rPr>
        <w:t>3%，而骑行者组为44.8%。</w:t>
      </w:r>
      <w:r>
        <w:rPr>
          <w:rFonts w:hint="eastAsia" w:ascii="Times New Roman" w:hAnsi="Times New Roman" w:eastAsia="宋体" w:cs="Times New Roman"/>
          <w:lang w:eastAsia="zh-CN"/>
        </w:rPr>
        <w:t>这种差异可能意味着未纳入模型的其他因素（如时间压力、载物需求等）对骑行者的影响更大。对于其他内生变量，行人组中风险感知对安全态度方差的解释比例为26.</w:t>
      </w:r>
      <w:r>
        <w:rPr>
          <w:rFonts w:hint="default" w:ascii="Times New Roman" w:hAnsi="Times New Roman" w:eastAsia="宋体" w:cs="Times New Roman"/>
          <w:lang w:eastAsia="zh-CN"/>
        </w:rPr>
        <w:t>6%，而在骑行者组仅为11.</w:t>
      </w:r>
      <w:r>
        <w:rPr>
          <w:rFonts w:hint="eastAsia" w:ascii="Times New Roman" w:hAnsi="Times New Roman" w:eastAsia="宋体" w:cs="Times New Roman"/>
          <w:lang w:eastAsia="zh-CN"/>
        </w:rPr>
        <w:t>7%；骑行者组中感知易用性对知觉行为控制方差的解释比例为20.</w:t>
      </w:r>
      <w:r>
        <w:rPr>
          <w:rFonts w:hint="default" w:ascii="Times New Roman" w:hAnsi="Times New Roman" w:eastAsia="宋体" w:cs="Times New Roman"/>
          <w:lang w:eastAsia="zh-CN"/>
        </w:rPr>
        <w:t>8%，在行人组仅为8.2%。</w:t>
      </w: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表17 多群组分析路径系数比较</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CC7E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62" w:type="dxa"/>
            <w:tcBorders>
              <w:top w:val="single" w:color="000000" w:sz="4" w:space="0"/>
              <w:left w:val="nil"/>
              <w:bottom w:val="single" w:color="000000" w:sz="12" w:space="0"/>
              <w:right w:val="nil"/>
            </w:tcBorders>
            <w:shd w:val="clear" w:color="auto" w:fill="FFFFFF"/>
            <w:noWrap/>
            <w:vAlign w:val="center"/>
          </w:tcPr>
          <w:p w14:paraId="0C6B6CB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路径</w:t>
            </w:r>
          </w:p>
        </w:tc>
        <w:tc>
          <w:tcPr>
            <w:tcW w:w="1489" w:type="dxa"/>
            <w:tcBorders>
              <w:top w:val="single" w:color="000000" w:sz="4" w:space="0"/>
              <w:left w:val="nil"/>
              <w:bottom w:val="single" w:color="000000" w:sz="12" w:space="0"/>
              <w:right w:val="nil"/>
            </w:tcBorders>
            <w:shd w:val="clear" w:color="auto" w:fill="FFFFFF"/>
            <w:noWrap/>
            <w:vAlign w:val="center"/>
          </w:tcPr>
          <w:p w14:paraId="0100D79A">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行人组β</w:t>
            </w:r>
          </w:p>
        </w:tc>
        <w:tc>
          <w:tcPr>
            <w:tcW w:w="995" w:type="dxa"/>
            <w:tcBorders>
              <w:top w:val="single" w:color="000000" w:sz="4" w:space="0"/>
              <w:left w:val="nil"/>
              <w:bottom w:val="single" w:color="000000" w:sz="12" w:space="0"/>
              <w:right w:val="nil"/>
            </w:tcBorders>
            <w:shd w:val="clear" w:color="auto" w:fill="FFFFFF"/>
            <w:noWrap/>
            <w:vAlign w:val="center"/>
          </w:tcPr>
          <w:p w14:paraId="00C1EEBB">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995" w:type="dxa"/>
            <w:tcBorders>
              <w:top w:val="single" w:color="000000" w:sz="4" w:space="0"/>
              <w:left w:val="nil"/>
              <w:bottom w:val="single" w:color="000000" w:sz="12" w:space="0"/>
              <w:right w:val="nil"/>
            </w:tcBorders>
            <w:shd w:val="clear" w:color="auto" w:fill="FFFFFF"/>
            <w:noWrap/>
            <w:vAlign w:val="center"/>
          </w:tcPr>
          <w:p w14:paraId="0D80680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骑行者组β</w:t>
            </w:r>
          </w:p>
        </w:tc>
        <w:tc>
          <w:tcPr>
            <w:tcW w:w="852" w:type="dxa"/>
            <w:tcBorders>
              <w:top w:val="single" w:color="000000" w:sz="4" w:space="0"/>
              <w:left w:val="nil"/>
              <w:bottom w:val="single" w:color="000000" w:sz="12" w:space="0"/>
              <w:right w:val="nil"/>
            </w:tcBorders>
            <w:shd w:val="clear" w:color="auto" w:fill="FFFFFF"/>
            <w:noWrap/>
            <w:vAlign w:val="center"/>
          </w:tcPr>
          <w:p w14:paraId="2C080DB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S.E.</w:t>
            </w:r>
          </w:p>
        </w:tc>
        <w:tc>
          <w:tcPr>
            <w:tcW w:w="1123" w:type="dxa"/>
            <w:tcBorders>
              <w:top w:val="single" w:color="000000" w:sz="4" w:space="0"/>
              <w:left w:val="nil"/>
              <w:bottom w:val="single" w:color="000000" w:sz="12" w:space="0"/>
              <w:right w:val="nil"/>
            </w:tcBorders>
            <w:shd w:val="clear" w:color="auto" w:fill="FFFFFF"/>
            <w:noWrap/>
            <w:vAlign w:val="center"/>
          </w:tcPr>
          <w:p w14:paraId="4C9B299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z值</w:t>
            </w:r>
          </w:p>
        </w:tc>
      </w:tr>
      <w:tr w14:paraId="32EAD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single" w:color="000000" w:sz="12" w:space="0"/>
              <w:left w:val="nil"/>
              <w:bottom w:val="nil"/>
              <w:right w:val="nil"/>
            </w:tcBorders>
            <w:shd w:val="clear" w:color="auto" w:fill="FFFFFF"/>
            <w:noWrap/>
            <w:vAlign w:val="center"/>
          </w:tcPr>
          <w:p w14:paraId="3A47F6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AT→BI</w:t>
            </w:r>
          </w:p>
        </w:tc>
        <w:tc>
          <w:tcPr>
            <w:tcW w:w="1489" w:type="dxa"/>
            <w:tcBorders>
              <w:top w:val="single" w:color="000000" w:sz="12" w:space="0"/>
              <w:left w:val="nil"/>
              <w:bottom w:val="nil"/>
              <w:right w:val="nil"/>
            </w:tcBorders>
            <w:shd w:val="clear" w:color="auto" w:fill="FFFFFF"/>
            <w:noWrap/>
            <w:vAlign w:val="center"/>
          </w:tcPr>
          <w:p w14:paraId="11D12E0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995" w:type="dxa"/>
            <w:tcBorders>
              <w:top w:val="single" w:color="000000" w:sz="12" w:space="0"/>
              <w:left w:val="nil"/>
              <w:bottom w:val="nil"/>
              <w:right w:val="nil"/>
            </w:tcBorders>
            <w:shd w:val="clear" w:color="auto" w:fill="FFFFFF"/>
            <w:noWrap/>
            <w:vAlign w:val="center"/>
          </w:tcPr>
          <w:p w14:paraId="329442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single" w:color="000000" w:sz="12" w:space="0"/>
              <w:left w:val="nil"/>
              <w:bottom w:val="nil"/>
              <w:right w:val="nil"/>
            </w:tcBorders>
            <w:shd w:val="clear" w:color="auto" w:fill="FFFFFF"/>
            <w:noWrap/>
            <w:vAlign w:val="center"/>
          </w:tcPr>
          <w:p w14:paraId="33C873B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0.196***</w:t>
            </w:r>
          </w:p>
        </w:tc>
        <w:tc>
          <w:tcPr>
            <w:tcW w:w="852" w:type="dxa"/>
            <w:tcBorders>
              <w:top w:val="single" w:color="000000" w:sz="12" w:space="0"/>
              <w:left w:val="nil"/>
              <w:bottom w:val="nil"/>
              <w:right w:val="nil"/>
            </w:tcBorders>
            <w:shd w:val="clear" w:color="auto" w:fill="FFFFFF"/>
            <w:noWrap/>
            <w:vAlign w:val="center"/>
          </w:tcPr>
          <w:p w14:paraId="3B111D3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0.052</w:t>
            </w:r>
          </w:p>
        </w:tc>
        <w:tc>
          <w:tcPr>
            <w:tcW w:w="1123" w:type="dxa"/>
            <w:tcBorders>
              <w:top w:val="single" w:color="000000" w:sz="12" w:space="0"/>
              <w:left w:val="nil"/>
              <w:bottom w:val="nil"/>
              <w:right w:val="nil"/>
            </w:tcBorders>
            <w:shd w:val="clear" w:color="auto" w:fill="FFFFFF"/>
            <w:noWrap/>
            <w:vAlign w:val="center"/>
          </w:tcPr>
          <w:p w14:paraId="2208FC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3.42***</w:t>
            </w:r>
          </w:p>
        </w:tc>
      </w:tr>
      <w:tr w14:paraId="36416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F7CD1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SN→BI</w:t>
            </w:r>
          </w:p>
        </w:tc>
        <w:tc>
          <w:tcPr>
            <w:tcW w:w="1489" w:type="dxa"/>
            <w:tcBorders>
              <w:top w:val="nil"/>
              <w:left w:val="nil"/>
              <w:bottom w:val="nil"/>
              <w:right w:val="nil"/>
            </w:tcBorders>
            <w:shd w:val="clear" w:color="auto" w:fill="FFFFFF"/>
            <w:noWrap/>
            <w:vAlign w:val="center"/>
          </w:tcPr>
          <w:p w14:paraId="6D5447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995" w:type="dxa"/>
            <w:tcBorders>
              <w:top w:val="nil"/>
              <w:left w:val="nil"/>
              <w:bottom w:val="nil"/>
              <w:right w:val="nil"/>
            </w:tcBorders>
            <w:shd w:val="clear" w:color="auto" w:fill="FFFFFF"/>
            <w:noWrap/>
            <w:vAlign w:val="center"/>
          </w:tcPr>
          <w:p w14:paraId="6620F5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0.054</w:t>
            </w:r>
          </w:p>
        </w:tc>
        <w:tc>
          <w:tcPr>
            <w:tcW w:w="1995" w:type="dxa"/>
            <w:tcBorders>
              <w:top w:val="nil"/>
              <w:left w:val="nil"/>
              <w:bottom w:val="nil"/>
              <w:right w:val="nil"/>
            </w:tcBorders>
            <w:shd w:val="clear" w:color="auto" w:fill="FFFFFF"/>
            <w:noWrap/>
            <w:vAlign w:val="center"/>
          </w:tcPr>
          <w:p w14:paraId="6281C7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0.145**</w:t>
            </w:r>
          </w:p>
        </w:tc>
        <w:tc>
          <w:tcPr>
            <w:tcW w:w="852" w:type="dxa"/>
            <w:tcBorders>
              <w:top w:val="nil"/>
              <w:left w:val="nil"/>
              <w:bottom w:val="nil"/>
              <w:right w:val="nil"/>
            </w:tcBorders>
            <w:shd w:val="clear" w:color="auto" w:fill="FFFFFF"/>
            <w:noWrap/>
            <w:vAlign w:val="center"/>
          </w:tcPr>
          <w:p w14:paraId="16AA0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0.051</w:t>
            </w:r>
          </w:p>
        </w:tc>
        <w:tc>
          <w:tcPr>
            <w:tcW w:w="1123" w:type="dxa"/>
            <w:tcBorders>
              <w:top w:val="nil"/>
              <w:left w:val="nil"/>
              <w:bottom w:val="nil"/>
              <w:right w:val="nil"/>
            </w:tcBorders>
            <w:shd w:val="clear" w:color="auto" w:fill="FFFFFF"/>
            <w:noWrap/>
            <w:vAlign w:val="center"/>
          </w:tcPr>
          <w:p w14:paraId="34E41D8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w:t>
            </w:r>
          </w:p>
        </w:tc>
      </w:tr>
      <w:tr w14:paraId="6AA53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725926E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PBC→BI</w:t>
            </w:r>
          </w:p>
        </w:tc>
        <w:tc>
          <w:tcPr>
            <w:tcW w:w="1489" w:type="dxa"/>
            <w:tcBorders>
              <w:top w:val="nil"/>
              <w:left w:val="nil"/>
              <w:bottom w:val="nil"/>
              <w:right w:val="nil"/>
            </w:tcBorders>
            <w:shd w:val="clear" w:color="auto" w:fill="FFFFFF"/>
            <w:noWrap/>
            <w:vAlign w:val="center"/>
          </w:tcPr>
          <w:p w14:paraId="182EEC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995" w:type="dxa"/>
            <w:tcBorders>
              <w:top w:val="nil"/>
              <w:left w:val="nil"/>
              <w:bottom w:val="nil"/>
              <w:right w:val="nil"/>
            </w:tcBorders>
            <w:shd w:val="clear" w:color="auto" w:fill="FFFFFF"/>
            <w:noWrap/>
            <w:vAlign w:val="center"/>
          </w:tcPr>
          <w:p w14:paraId="7AF71B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995" w:type="dxa"/>
            <w:tcBorders>
              <w:top w:val="nil"/>
              <w:left w:val="nil"/>
              <w:bottom w:val="nil"/>
              <w:right w:val="nil"/>
            </w:tcBorders>
            <w:shd w:val="clear" w:color="auto" w:fill="FFFFFF"/>
            <w:noWrap/>
            <w:vAlign w:val="center"/>
          </w:tcPr>
          <w:p w14:paraId="235625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0.324***</w:t>
            </w:r>
          </w:p>
        </w:tc>
        <w:tc>
          <w:tcPr>
            <w:tcW w:w="852" w:type="dxa"/>
            <w:tcBorders>
              <w:top w:val="nil"/>
              <w:left w:val="nil"/>
              <w:bottom w:val="nil"/>
              <w:right w:val="nil"/>
            </w:tcBorders>
            <w:shd w:val="clear" w:color="auto" w:fill="FFFFFF"/>
            <w:noWrap/>
            <w:vAlign w:val="center"/>
          </w:tcPr>
          <w:p w14:paraId="7D1DF4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0.053</w:t>
            </w:r>
          </w:p>
        </w:tc>
        <w:tc>
          <w:tcPr>
            <w:tcW w:w="1123" w:type="dxa"/>
            <w:tcBorders>
              <w:top w:val="nil"/>
              <w:left w:val="nil"/>
              <w:bottom w:val="nil"/>
              <w:right w:val="nil"/>
            </w:tcBorders>
            <w:shd w:val="clear" w:color="auto" w:fill="FFFFFF"/>
            <w:noWrap/>
            <w:vAlign w:val="center"/>
          </w:tcPr>
          <w:p w14:paraId="382A1F7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-2.96**</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表17 多群组分析路径系数比较（续）</w:t>
      </w:r>
    </w:p>
    <w:tbl>
      <w:tblPr>
        <w:tblStyle w:val="8"/>
        <w:tblW w:w="801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2"/>
        <w:gridCol w:w="1489"/>
        <w:gridCol w:w="995"/>
        <w:gridCol w:w="1995"/>
        <w:gridCol w:w="852"/>
        <w:gridCol w:w="1123"/>
      </w:tblGrid>
      <w:tr w14:paraId="03A38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3CA2FC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PU→BI</w:t>
            </w:r>
          </w:p>
        </w:tc>
        <w:tc>
          <w:tcPr>
            <w:tcW w:w="1489" w:type="dxa"/>
            <w:tcBorders>
              <w:top w:val="nil"/>
              <w:left w:val="nil"/>
              <w:bottom w:val="nil"/>
              <w:right w:val="nil"/>
            </w:tcBorders>
            <w:shd w:val="clear" w:color="auto" w:fill="FFFFFF"/>
            <w:noWrap/>
            <w:vAlign w:val="center"/>
          </w:tcPr>
          <w:p w14:paraId="267CA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995" w:type="dxa"/>
            <w:tcBorders>
              <w:top w:val="nil"/>
              <w:left w:val="nil"/>
              <w:bottom w:val="nil"/>
              <w:right w:val="nil"/>
            </w:tcBorders>
            <w:shd w:val="clear" w:color="auto" w:fill="FFFFFF"/>
            <w:noWrap/>
            <w:vAlign w:val="center"/>
          </w:tcPr>
          <w:p w14:paraId="5E7D87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0.061</w:t>
            </w:r>
          </w:p>
        </w:tc>
        <w:tc>
          <w:tcPr>
            <w:tcW w:w="1995" w:type="dxa"/>
            <w:tcBorders>
              <w:top w:val="nil"/>
              <w:left w:val="nil"/>
              <w:bottom w:val="nil"/>
              <w:right w:val="nil"/>
            </w:tcBorders>
            <w:shd w:val="clear" w:color="auto" w:fill="FFFFFF"/>
            <w:noWrap/>
            <w:vAlign w:val="center"/>
          </w:tcPr>
          <w:p w14:paraId="7A93BE3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0.149**</w:t>
            </w:r>
          </w:p>
        </w:tc>
        <w:tc>
          <w:tcPr>
            <w:tcW w:w="852" w:type="dxa"/>
            <w:tcBorders>
              <w:top w:val="nil"/>
              <w:left w:val="nil"/>
              <w:bottom w:val="nil"/>
              <w:right w:val="nil"/>
            </w:tcBorders>
            <w:shd w:val="clear" w:color="auto" w:fill="FFFFFF"/>
            <w:noWrap/>
            <w:vAlign w:val="center"/>
          </w:tcPr>
          <w:p w14:paraId="1A759E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0.057</w:t>
            </w:r>
          </w:p>
        </w:tc>
        <w:tc>
          <w:tcPr>
            <w:tcW w:w="1123" w:type="dxa"/>
            <w:tcBorders>
              <w:top w:val="nil"/>
              <w:left w:val="nil"/>
              <w:bottom w:val="nil"/>
              <w:right w:val="nil"/>
            </w:tcBorders>
            <w:shd w:val="clear" w:color="auto" w:fill="FFFFFF"/>
            <w:noWrap/>
            <w:vAlign w:val="center"/>
          </w:tcPr>
          <w:p w14:paraId="3DAE63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r>
      <w:tr w14:paraId="46939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287074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RP→SA</w:t>
            </w:r>
          </w:p>
        </w:tc>
        <w:tc>
          <w:tcPr>
            <w:tcW w:w="1489" w:type="dxa"/>
            <w:tcBorders>
              <w:top w:val="nil"/>
              <w:left w:val="nil"/>
              <w:bottom w:val="nil"/>
              <w:right w:val="nil"/>
            </w:tcBorders>
            <w:shd w:val="clear" w:color="auto" w:fill="FFFFFF"/>
            <w:noWrap/>
            <w:vAlign w:val="center"/>
          </w:tcPr>
          <w:p w14:paraId="60FD8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0.516***</w:t>
            </w:r>
          </w:p>
        </w:tc>
        <w:tc>
          <w:tcPr>
            <w:tcW w:w="995" w:type="dxa"/>
            <w:tcBorders>
              <w:top w:val="nil"/>
              <w:left w:val="nil"/>
              <w:bottom w:val="nil"/>
              <w:right w:val="nil"/>
            </w:tcBorders>
            <w:shd w:val="clear" w:color="auto" w:fill="FFFFFF"/>
            <w:noWrap/>
            <w:vAlign w:val="center"/>
          </w:tcPr>
          <w:p w14:paraId="4E55D7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0.062</w:t>
            </w:r>
          </w:p>
        </w:tc>
        <w:tc>
          <w:tcPr>
            <w:tcW w:w="1995" w:type="dxa"/>
            <w:tcBorders>
              <w:top w:val="nil"/>
              <w:left w:val="nil"/>
              <w:bottom w:val="nil"/>
              <w:right w:val="nil"/>
            </w:tcBorders>
            <w:shd w:val="clear" w:color="auto" w:fill="FFFFFF"/>
            <w:noWrap/>
            <w:vAlign w:val="center"/>
          </w:tcPr>
          <w:p w14:paraId="3863AE7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0.342***</w:t>
            </w:r>
          </w:p>
        </w:tc>
        <w:tc>
          <w:tcPr>
            <w:tcW w:w="852" w:type="dxa"/>
            <w:tcBorders>
              <w:top w:val="nil"/>
              <w:left w:val="nil"/>
              <w:bottom w:val="nil"/>
              <w:right w:val="nil"/>
            </w:tcBorders>
            <w:shd w:val="clear" w:color="auto" w:fill="FFFFFF"/>
            <w:noWrap/>
            <w:vAlign w:val="center"/>
          </w:tcPr>
          <w:p w14:paraId="7EFC4B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123" w:type="dxa"/>
            <w:tcBorders>
              <w:top w:val="nil"/>
              <w:left w:val="nil"/>
              <w:bottom w:val="nil"/>
              <w:right w:val="nil"/>
            </w:tcBorders>
            <w:shd w:val="clear" w:color="auto" w:fill="FFFFFF"/>
            <w:noWrap/>
            <w:vAlign w:val="center"/>
          </w:tcPr>
          <w:p w14:paraId="226B60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2.87**</w:t>
            </w:r>
          </w:p>
        </w:tc>
      </w:tr>
      <w:tr w14:paraId="177BD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EF1C3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PEU→PBC</w:t>
            </w:r>
          </w:p>
        </w:tc>
        <w:tc>
          <w:tcPr>
            <w:tcW w:w="1489" w:type="dxa"/>
            <w:tcBorders>
              <w:top w:val="nil"/>
              <w:left w:val="nil"/>
              <w:bottom w:val="nil"/>
              <w:right w:val="nil"/>
            </w:tcBorders>
            <w:shd w:val="clear" w:color="auto" w:fill="FFFFFF"/>
            <w:noWrap/>
            <w:vAlign w:val="center"/>
          </w:tcPr>
          <w:p w14:paraId="1B75FC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0.287***</w:t>
            </w:r>
          </w:p>
        </w:tc>
        <w:tc>
          <w:tcPr>
            <w:tcW w:w="995" w:type="dxa"/>
            <w:tcBorders>
              <w:top w:val="nil"/>
              <w:left w:val="nil"/>
              <w:bottom w:val="nil"/>
              <w:right w:val="nil"/>
            </w:tcBorders>
            <w:shd w:val="clear" w:color="auto" w:fill="FFFFFF"/>
            <w:noWrap/>
            <w:vAlign w:val="center"/>
          </w:tcPr>
          <w:p w14:paraId="2AE0C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0.068</w:t>
            </w:r>
          </w:p>
        </w:tc>
        <w:tc>
          <w:tcPr>
            <w:tcW w:w="1995" w:type="dxa"/>
            <w:tcBorders>
              <w:top w:val="nil"/>
              <w:left w:val="nil"/>
              <w:bottom w:val="nil"/>
              <w:right w:val="nil"/>
            </w:tcBorders>
            <w:shd w:val="clear" w:color="auto" w:fill="FFFFFF"/>
            <w:noWrap/>
            <w:vAlign w:val="center"/>
          </w:tcPr>
          <w:p w14:paraId="5C3E1E5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0.456***</w:t>
            </w:r>
          </w:p>
        </w:tc>
        <w:tc>
          <w:tcPr>
            <w:tcW w:w="852" w:type="dxa"/>
            <w:tcBorders>
              <w:top w:val="nil"/>
              <w:left w:val="nil"/>
              <w:bottom w:val="nil"/>
              <w:right w:val="nil"/>
            </w:tcBorders>
            <w:shd w:val="clear" w:color="auto" w:fill="FFFFFF"/>
            <w:noWrap/>
            <w:vAlign w:val="center"/>
          </w:tcPr>
          <w:p w14:paraId="32DF06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123" w:type="dxa"/>
            <w:tcBorders>
              <w:top w:val="nil"/>
              <w:left w:val="nil"/>
              <w:bottom w:val="nil"/>
              <w:right w:val="nil"/>
            </w:tcBorders>
            <w:shd w:val="clear" w:color="auto" w:fill="FFFFFF"/>
            <w:noWrap/>
            <w:vAlign w:val="center"/>
          </w:tcPr>
          <w:p w14:paraId="4BCC548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-2.54*</w:t>
            </w:r>
          </w:p>
        </w:tc>
      </w:tr>
      <w:tr w14:paraId="16E84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0E52DFC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PCE→RP</w:t>
            </w:r>
          </w:p>
        </w:tc>
        <w:tc>
          <w:tcPr>
            <w:tcW w:w="1489" w:type="dxa"/>
            <w:tcBorders>
              <w:top w:val="nil"/>
              <w:left w:val="nil"/>
              <w:bottom w:val="nil"/>
              <w:right w:val="nil"/>
            </w:tcBorders>
            <w:shd w:val="clear" w:color="auto" w:fill="FFFFFF"/>
            <w:noWrap/>
            <w:vAlign w:val="center"/>
          </w:tcPr>
          <w:p w14:paraId="4489B3D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0.487***</w:t>
            </w:r>
          </w:p>
        </w:tc>
        <w:tc>
          <w:tcPr>
            <w:tcW w:w="995" w:type="dxa"/>
            <w:tcBorders>
              <w:top w:val="nil"/>
              <w:left w:val="nil"/>
              <w:bottom w:val="nil"/>
              <w:right w:val="nil"/>
            </w:tcBorders>
            <w:shd w:val="clear" w:color="auto" w:fill="FFFFFF"/>
            <w:noWrap/>
            <w:vAlign w:val="center"/>
          </w:tcPr>
          <w:p w14:paraId="53558F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0.059</w:t>
            </w:r>
          </w:p>
        </w:tc>
        <w:tc>
          <w:tcPr>
            <w:tcW w:w="1995" w:type="dxa"/>
            <w:tcBorders>
              <w:top w:val="nil"/>
              <w:left w:val="nil"/>
              <w:bottom w:val="nil"/>
              <w:right w:val="nil"/>
            </w:tcBorders>
            <w:shd w:val="clear" w:color="auto" w:fill="FFFFFF"/>
            <w:noWrap/>
            <w:vAlign w:val="center"/>
          </w:tcPr>
          <w:p w14:paraId="13CA93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0.538***</w:t>
            </w:r>
          </w:p>
        </w:tc>
        <w:tc>
          <w:tcPr>
            <w:tcW w:w="852" w:type="dxa"/>
            <w:tcBorders>
              <w:top w:val="nil"/>
              <w:left w:val="nil"/>
              <w:bottom w:val="nil"/>
              <w:right w:val="nil"/>
            </w:tcBorders>
            <w:shd w:val="clear" w:color="auto" w:fill="FFFFFF"/>
            <w:noWrap/>
            <w:vAlign w:val="center"/>
          </w:tcPr>
          <w:p w14:paraId="5580AE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0.056</w:t>
            </w:r>
          </w:p>
        </w:tc>
        <w:tc>
          <w:tcPr>
            <w:tcW w:w="1123" w:type="dxa"/>
            <w:tcBorders>
              <w:top w:val="nil"/>
              <w:left w:val="nil"/>
              <w:bottom w:val="nil"/>
              <w:right w:val="nil"/>
            </w:tcBorders>
            <w:shd w:val="clear" w:color="auto" w:fill="FFFFFF"/>
            <w:noWrap/>
            <w:vAlign w:val="center"/>
          </w:tcPr>
          <w:p w14:paraId="5807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r>
      <w:tr w14:paraId="4443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1623E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RP→BI</w:t>
            </w:r>
          </w:p>
        </w:tc>
        <w:tc>
          <w:tcPr>
            <w:tcW w:w="1489" w:type="dxa"/>
            <w:tcBorders>
              <w:top w:val="nil"/>
              <w:left w:val="nil"/>
              <w:bottom w:val="nil"/>
              <w:right w:val="nil"/>
            </w:tcBorders>
            <w:shd w:val="clear" w:color="auto" w:fill="FFFFFF"/>
            <w:noWrap/>
            <w:vAlign w:val="center"/>
          </w:tcPr>
          <w:p w14:paraId="3214D9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w:t>
            </w:r>
          </w:p>
        </w:tc>
        <w:tc>
          <w:tcPr>
            <w:tcW w:w="995" w:type="dxa"/>
            <w:tcBorders>
              <w:top w:val="nil"/>
              <w:left w:val="nil"/>
              <w:bottom w:val="nil"/>
              <w:right w:val="nil"/>
            </w:tcBorders>
            <w:shd w:val="clear" w:color="auto" w:fill="FFFFFF"/>
            <w:noWrap/>
            <w:vAlign w:val="center"/>
          </w:tcPr>
          <w:p w14:paraId="7FC474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0.064</w:t>
            </w:r>
          </w:p>
        </w:tc>
        <w:tc>
          <w:tcPr>
            <w:tcW w:w="1995" w:type="dxa"/>
            <w:tcBorders>
              <w:top w:val="nil"/>
              <w:left w:val="nil"/>
              <w:bottom w:val="nil"/>
              <w:right w:val="nil"/>
            </w:tcBorders>
            <w:shd w:val="clear" w:color="auto" w:fill="FFFFFF"/>
            <w:noWrap/>
            <w:vAlign w:val="center"/>
          </w:tcPr>
          <w:p w14:paraId="41F949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0.081</w:t>
            </w:r>
          </w:p>
        </w:tc>
        <w:tc>
          <w:tcPr>
            <w:tcW w:w="852" w:type="dxa"/>
            <w:tcBorders>
              <w:top w:val="nil"/>
              <w:left w:val="nil"/>
              <w:bottom w:val="nil"/>
              <w:right w:val="nil"/>
            </w:tcBorders>
            <w:shd w:val="clear" w:color="auto" w:fill="FFFFFF"/>
            <w:noWrap/>
            <w:vAlign w:val="center"/>
          </w:tcPr>
          <w:p w14:paraId="2692A0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w:t>
            </w:r>
          </w:p>
        </w:tc>
        <w:tc>
          <w:tcPr>
            <w:tcW w:w="1123" w:type="dxa"/>
            <w:tcBorders>
              <w:top w:val="nil"/>
              <w:left w:val="nil"/>
              <w:bottom w:val="nil"/>
              <w:right w:val="nil"/>
            </w:tcBorders>
            <w:shd w:val="clear" w:color="auto" w:fill="FFFFFF"/>
            <w:noWrap/>
            <w:vAlign w:val="center"/>
          </w:tcPr>
          <w:p w14:paraId="22F02E1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0.21</w:t>
            </w:r>
          </w:p>
        </w:tc>
      </w:tr>
      <w:tr w14:paraId="392C3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nil"/>
              <w:right w:val="nil"/>
            </w:tcBorders>
            <w:shd w:val="clear" w:color="auto" w:fill="FFFFFF"/>
            <w:noWrap/>
            <w:vAlign w:val="center"/>
          </w:tcPr>
          <w:p w14:paraId="4EC628B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PEU→BI</w:t>
            </w:r>
          </w:p>
        </w:tc>
        <w:tc>
          <w:tcPr>
            <w:tcW w:w="1489" w:type="dxa"/>
            <w:tcBorders>
              <w:top w:val="nil"/>
              <w:left w:val="nil"/>
              <w:bottom w:val="nil"/>
              <w:right w:val="nil"/>
            </w:tcBorders>
            <w:shd w:val="clear" w:color="auto" w:fill="FFFFFF"/>
            <w:noWrap/>
            <w:vAlign w:val="center"/>
          </w:tcPr>
          <w:p w14:paraId="6EC8759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w:t>
            </w:r>
          </w:p>
        </w:tc>
        <w:tc>
          <w:tcPr>
            <w:tcW w:w="995" w:type="dxa"/>
            <w:tcBorders>
              <w:top w:val="nil"/>
              <w:left w:val="nil"/>
              <w:bottom w:val="nil"/>
              <w:right w:val="nil"/>
            </w:tcBorders>
            <w:shd w:val="clear" w:color="auto" w:fill="FFFFFF"/>
            <w:noWrap/>
            <w:vAlign w:val="center"/>
          </w:tcPr>
          <w:p w14:paraId="541564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0.058</w:t>
            </w:r>
          </w:p>
        </w:tc>
        <w:tc>
          <w:tcPr>
            <w:tcW w:w="1995" w:type="dxa"/>
            <w:tcBorders>
              <w:top w:val="nil"/>
              <w:left w:val="nil"/>
              <w:bottom w:val="nil"/>
              <w:right w:val="nil"/>
            </w:tcBorders>
            <w:shd w:val="clear" w:color="auto" w:fill="FFFFFF"/>
            <w:noWrap/>
            <w:vAlign w:val="center"/>
          </w:tcPr>
          <w:p w14:paraId="3B87F9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0.065</w:t>
            </w:r>
          </w:p>
        </w:tc>
        <w:tc>
          <w:tcPr>
            <w:tcW w:w="852" w:type="dxa"/>
            <w:tcBorders>
              <w:top w:val="nil"/>
              <w:left w:val="nil"/>
              <w:bottom w:val="nil"/>
              <w:right w:val="nil"/>
            </w:tcBorders>
            <w:shd w:val="clear" w:color="auto" w:fill="FFFFFF"/>
            <w:noWrap/>
            <w:vAlign w:val="center"/>
          </w:tcPr>
          <w:p w14:paraId="6E8EA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0.055</w:t>
            </w:r>
          </w:p>
        </w:tc>
        <w:tc>
          <w:tcPr>
            <w:tcW w:w="1123" w:type="dxa"/>
            <w:tcBorders>
              <w:top w:val="nil"/>
              <w:left w:val="nil"/>
              <w:bottom w:val="nil"/>
              <w:right w:val="nil"/>
            </w:tcBorders>
            <w:shd w:val="clear" w:color="auto" w:fill="FFFFFF"/>
            <w:noWrap/>
            <w:vAlign w:val="center"/>
          </w:tcPr>
          <w:p w14:paraId="7368F0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r>
      <w:tr w14:paraId="6B8B5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62" w:type="dxa"/>
            <w:tcBorders>
              <w:top w:val="nil"/>
              <w:left w:val="nil"/>
              <w:bottom w:val="single" w:color="000000" w:sz="4" w:space="0"/>
              <w:right w:val="nil"/>
            </w:tcBorders>
            <w:shd w:val="clear" w:color="auto" w:fill="FFFFFF"/>
            <w:noWrap/>
            <w:vAlign w:val="center"/>
          </w:tcPr>
          <w:p w14:paraId="50110F3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模型R²(BI)</w:t>
            </w:r>
          </w:p>
        </w:tc>
        <w:tc>
          <w:tcPr>
            <w:tcW w:w="1489" w:type="dxa"/>
            <w:tcBorders>
              <w:top w:val="nil"/>
              <w:left w:val="nil"/>
              <w:bottom w:val="single" w:color="000000" w:sz="4" w:space="0"/>
              <w:right w:val="nil"/>
            </w:tcBorders>
            <w:shd w:val="clear" w:color="auto" w:fill="FFFFFF"/>
            <w:noWrap/>
            <w:vAlign w:val="center"/>
          </w:tcPr>
          <w:p w14:paraId="31CDE58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0.523</w:t>
            </w:r>
          </w:p>
        </w:tc>
        <w:tc>
          <w:tcPr>
            <w:tcW w:w="995" w:type="dxa"/>
            <w:tcBorders>
              <w:top w:val="nil"/>
              <w:left w:val="nil"/>
              <w:bottom w:val="single" w:color="000000" w:sz="4" w:space="0"/>
              <w:right w:val="nil"/>
            </w:tcBorders>
            <w:shd w:val="clear" w:color="auto" w:fill="FFFFFF"/>
            <w:noWrap/>
            <w:vAlign w:val="center"/>
          </w:tcPr>
          <w:p w14:paraId="07B9096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995" w:type="dxa"/>
            <w:tcBorders>
              <w:top w:val="nil"/>
              <w:left w:val="nil"/>
              <w:bottom w:val="single" w:color="000000" w:sz="4" w:space="0"/>
              <w:right w:val="nil"/>
            </w:tcBorders>
            <w:shd w:val="clear" w:color="auto" w:fill="FFFFFF"/>
            <w:noWrap/>
            <w:vAlign w:val="center"/>
          </w:tcPr>
          <w:p w14:paraId="7AF203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0.448</w:t>
            </w:r>
          </w:p>
        </w:tc>
        <w:tc>
          <w:tcPr>
            <w:tcW w:w="852" w:type="dxa"/>
            <w:tcBorders>
              <w:top w:val="nil"/>
              <w:left w:val="nil"/>
              <w:bottom w:val="single" w:color="000000" w:sz="4" w:space="0"/>
              <w:right w:val="nil"/>
            </w:tcBorders>
            <w:shd w:val="clear" w:color="auto" w:fill="FFFFFF"/>
            <w:noWrap/>
            <w:vAlign w:val="center"/>
          </w:tcPr>
          <w:p w14:paraId="50A0827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1123" w:type="dxa"/>
            <w:tcBorders>
              <w:top w:val="nil"/>
              <w:left w:val="nil"/>
              <w:bottom w:val="single" w:color="000000" w:sz="4" w:space="0"/>
              <w:right w:val="nil"/>
            </w:tcBorders>
            <w:shd w:val="clear" w:color="auto" w:fill="FFFFFF"/>
            <w:noWrap/>
            <w:vAlign w:val="center"/>
          </w:tcPr>
          <w:p w14:paraId="7E9122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r>
    </w:tbl>
    <w:p w14:paraId="48976831">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val="en-US" w:eastAsia="zh-CN"/>
        </w:rPr>
      </w:pPr>
      <w:r>
        <w:rPr>
          <w:rFonts w:hint="default" w:ascii="Times New Roman" w:hAnsi="Times New Roman" w:eastAsia="宋体" w:cs="Times New Roman"/>
          <w:lang w:eastAsia="zh-CN"/>
        </w:rPr>
        <w:t>注：***p&lt;0.001,**p&lt;0.01,*p&lt;0.05</w:t>
      </w:r>
    </w:p>
    <w:p w14:paraId="45BF6C3E">
      <w:pPr>
        <w:pStyle w:val="4"/>
        <w:numPr>
          <w:ilvl w:val="0"/>
          <w:numId w:val="0"/>
        </w:numPr>
        <w:ind w:firstLine="480" w:firstLineChars="200"/>
        <w:jc w:val="both"/>
        <w:rPr>
          <w:rFonts w:hint="default" w:ascii="Times New Roman" w:hAnsi="Times New Roman" w:cs="Times New Roman"/>
          <w:lang w:eastAsia="zh-CN"/>
        </w:rPr>
      </w:pPr>
    </w:p>
    <w:p w14:paraId="03394A32">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4.2.4共享道路冲突主体</w:t>
      </w:r>
      <w:r>
        <w:rPr>
          <w:rFonts w:hint="default" w:ascii="黑体" w:hAnsi="黑体" w:eastAsia="黑体"/>
          <w:b w:val="0"/>
          <w:bCs w:val="0"/>
          <w:sz w:val="30"/>
          <w:szCs w:val="30"/>
          <w:lang w:val="en-US" w:eastAsia="zh-CN"/>
        </w:rPr>
        <w:t>行为</w:t>
      </w:r>
      <w:r>
        <w:rPr>
          <w:rFonts w:hint="eastAsia" w:ascii="黑体" w:hAnsi="黑体" w:eastAsia="黑体"/>
          <w:b w:val="0"/>
          <w:bCs w:val="0"/>
          <w:sz w:val="30"/>
          <w:szCs w:val="30"/>
          <w:lang w:val="en-US" w:eastAsia="zh-CN"/>
        </w:rPr>
        <w:t>机理</w:t>
      </w:r>
      <w:r>
        <w:rPr>
          <w:rFonts w:hint="default" w:ascii="黑体" w:hAnsi="黑体" w:eastAsia="黑体"/>
          <w:b w:val="0"/>
          <w:bCs w:val="0"/>
          <w:sz w:val="30"/>
          <w:szCs w:val="30"/>
          <w:lang w:val="en-US" w:eastAsia="zh-CN"/>
        </w:rPr>
        <w:t>构建</w:t>
      </w:r>
    </w:p>
    <w:p w14:paraId="457C15F9">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（1）</w:t>
      </w:r>
      <w:r>
        <w:rPr>
          <w:rFonts w:hint="default" w:ascii="黑体" w:hAnsi="黑体" w:eastAsia="黑体" w:cs="黑体"/>
          <w:lang w:val="en-US" w:eastAsia="zh-CN"/>
        </w:rPr>
        <w:t>决定性因素提取</w:t>
      </w:r>
    </w:p>
    <w:p w14:paraId="6B2A253C">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决定性因素的提取基于三个标准：（1）路径系数的大小和显著性；（2）总效应（直接效应+间接效应）的贡献；（3）理论和实践的重要性。</w:t>
      </w: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行人群体，通过分析发现影响其行为意图的决定性因素按重要性排序为（如表18所示）：安全态度（总效应为0.378）、风险感知（总效应为0.289，主要通过安全态度的间接效应）、主观规范（总效应为0.167）、知觉行为控制（总效应为0.158）。其中，风险感知虽然对行为意图没有显著的直接效应，但通过影响安全态度产生了强烈的间接作用（间接效应为0.195，p&amp;amp;lt;0.001）。</w:t>
      </w:r>
    </w:p>
    <w:p w14:paraId="09D5742C">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表18 行人群体决定性因素重要性排序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5A97A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2C43BC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5746EF8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2AA7825D">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46114170">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D69F8A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4103CBD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相对贡献率(%)</w:t>
            </w:r>
          </w:p>
        </w:tc>
      </w:tr>
      <w:tr w14:paraId="32128D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8" w:hRule="atLeast"/>
          <w:jc w:val="center"/>
        </w:trPr>
        <w:tc>
          <w:tcPr>
            <w:tcW w:w="0" w:type="auto"/>
            <w:tcBorders>
              <w:top w:val="single" w:color="000000" w:sz="12" w:space="0"/>
              <w:left w:val="nil"/>
              <w:bottom w:val="nil"/>
              <w:right w:val="nil"/>
            </w:tcBorders>
            <w:shd w:val="clear" w:color="auto" w:fill="FFFFFF"/>
            <w:noWrap/>
            <w:vAlign w:val="center"/>
          </w:tcPr>
          <w:p w14:paraId="197936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55A50A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AT</w:t>
            </w:r>
          </w:p>
        </w:tc>
        <w:tc>
          <w:tcPr>
            <w:tcW w:w="0" w:type="auto"/>
            <w:tcBorders>
              <w:top w:val="single" w:color="000000" w:sz="12" w:space="0"/>
              <w:left w:val="nil"/>
              <w:bottom w:val="nil"/>
              <w:right w:val="nil"/>
            </w:tcBorders>
            <w:shd w:val="clear" w:color="auto" w:fill="FFFFFF"/>
            <w:noWrap/>
            <w:vAlign w:val="center"/>
          </w:tcPr>
          <w:p w14:paraId="5C3288F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13C685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01D556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0.378</w:t>
            </w:r>
          </w:p>
        </w:tc>
        <w:tc>
          <w:tcPr>
            <w:tcW w:w="0" w:type="auto"/>
            <w:tcBorders>
              <w:top w:val="single" w:color="000000" w:sz="12" w:space="0"/>
              <w:left w:val="nil"/>
              <w:bottom w:val="nil"/>
              <w:right w:val="nil"/>
            </w:tcBorders>
            <w:shd w:val="clear" w:color="auto" w:fill="FFFFFF"/>
            <w:noWrap/>
            <w:vAlign w:val="center"/>
          </w:tcPr>
          <w:p w14:paraId="788ED1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31.2</w:t>
            </w:r>
          </w:p>
        </w:tc>
      </w:tr>
      <w:tr w14:paraId="77853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7FD93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742055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7F2751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0.094(ns)</w:t>
            </w:r>
          </w:p>
        </w:tc>
        <w:tc>
          <w:tcPr>
            <w:tcW w:w="0" w:type="auto"/>
            <w:tcBorders>
              <w:top w:val="nil"/>
              <w:left w:val="nil"/>
              <w:bottom w:val="nil"/>
              <w:right w:val="nil"/>
            </w:tcBorders>
            <w:shd w:val="clear" w:color="auto" w:fill="FFFFFF"/>
            <w:noWrap/>
            <w:vAlign w:val="center"/>
          </w:tcPr>
          <w:p w14:paraId="2F7D98F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0.195***</w:t>
            </w:r>
          </w:p>
        </w:tc>
        <w:tc>
          <w:tcPr>
            <w:tcW w:w="0" w:type="auto"/>
            <w:tcBorders>
              <w:top w:val="nil"/>
              <w:left w:val="nil"/>
              <w:bottom w:val="nil"/>
              <w:right w:val="nil"/>
            </w:tcBorders>
            <w:shd w:val="clear" w:color="auto" w:fill="FFFFFF"/>
            <w:noWrap/>
            <w:vAlign w:val="center"/>
          </w:tcPr>
          <w:p w14:paraId="388278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0.289</w:t>
            </w:r>
          </w:p>
        </w:tc>
        <w:tc>
          <w:tcPr>
            <w:tcW w:w="0" w:type="auto"/>
            <w:tcBorders>
              <w:top w:val="nil"/>
              <w:left w:val="nil"/>
              <w:bottom w:val="nil"/>
              <w:right w:val="nil"/>
            </w:tcBorders>
            <w:shd w:val="clear" w:color="auto" w:fill="FFFFFF"/>
            <w:noWrap/>
            <w:vAlign w:val="center"/>
          </w:tcPr>
          <w:p w14:paraId="62D2C3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18.6</w:t>
            </w:r>
          </w:p>
        </w:tc>
      </w:tr>
      <w:tr w14:paraId="35736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1DFCE3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752562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441E66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5951C8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B442B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0" w:type="auto"/>
            <w:tcBorders>
              <w:top w:val="nil"/>
              <w:left w:val="nil"/>
              <w:bottom w:val="nil"/>
              <w:right w:val="nil"/>
            </w:tcBorders>
            <w:shd w:val="clear" w:color="auto" w:fill="FFFFFF"/>
            <w:noWrap/>
            <w:vAlign w:val="center"/>
          </w:tcPr>
          <w:p w14:paraId="62225F4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12.4</w:t>
            </w:r>
          </w:p>
        </w:tc>
      </w:tr>
      <w:tr w14:paraId="3394D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256B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6072700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PBC</w:t>
            </w:r>
          </w:p>
        </w:tc>
        <w:tc>
          <w:tcPr>
            <w:tcW w:w="0" w:type="auto"/>
            <w:tcBorders>
              <w:top w:val="nil"/>
              <w:left w:val="nil"/>
              <w:bottom w:val="nil"/>
              <w:right w:val="nil"/>
            </w:tcBorders>
            <w:shd w:val="clear" w:color="auto" w:fill="FFFFFF"/>
            <w:noWrap/>
            <w:vAlign w:val="center"/>
          </w:tcPr>
          <w:p w14:paraId="2244E8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6321903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0C6CA9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0.158</w:t>
            </w:r>
          </w:p>
        </w:tc>
        <w:tc>
          <w:tcPr>
            <w:tcW w:w="0" w:type="auto"/>
            <w:tcBorders>
              <w:top w:val="nil"/>
              <w:left w:val="nil"/>
              <w:bottom w:val="nil"/>
              <w:right w:val="nil"/>
            </w:tcBorders>
            <w:shd w:val="clear" w:color="auto" w:fill="FFFFFF"/>
            <w:noWrap/>
            <w:vAlign w:val="center"/>
          </w:tcPr>
          <w:p w14:paraId="7F1E950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10.8</w:t>
            </w:r>
          </w:p>
        </w:tc>
      </w:tr>
      <w:tr w14:paraId="5892D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2D9F77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3BB01E9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75C72F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05881F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1178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0.134</w:t>
            </w:r>
          </w:p>
        </w:tc>
        <w:tc>
          <w:tcPr>
            <w:tcW w:w="0" w:type="auto"/>
            <w:tcBorders>
              <w:top w:val="nil"/>
              <w:left w:val="nil"/>
              <w:bottom w:val="nil"/>
              <w:right w:val="nil"/>
            </w:tcBorders>
            <w:shd w:val="clear" w:color="auto" w:fill="FFFFFF"/>
            <w:noWrap/>
            <w:vAlign w:val="center"/>
          </w:tcPr>
          <w:p w14:paraId="5AF4AF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8.7</w:t>
            </w:r>
          </w:p>
        </w:tc>
      </w:tr>
      <w:tr w14:paraId="3A3AAB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1399B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758755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598D5B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0.072(ns)</w:t>
            </w:r>
          </w:p>
        </w:tc>
        <w:tc>
          <w:tcPr>
            <w:tcW w:w="0" w:type="auto"/>
            <w:tcBorders>
              <w:top w:val="nil"/>
              <w:left w:val="nil"/>
              <w:bottom w:val="nil"/>
              <w:right w:val="nil"/>
            </w:tcBorders>
            <w:shd w:val="clear" w:color="auto" w:fill="FFFFFF"/>
            <w:noWrap/>
            <w:vAlign w:val="center"/>
          </w:tcPr>
          <w:p w14:paraId="792818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0.045(ns)</w:t>
            </w:r>
          </w:p>
        </w:tc>
        <w:tc>
          <w:tcPr>
            <w:tcW w:w="0" w:type="auto"/>
            <w:tcBorders>
              <w:top w:val="nil"/>
              <w:left w:val="nil"/>
              <w:bottom w:val="nil"/>
              <w:right w:val="nil"/>
            </w:tcBorders>
            <w:shd w:val="clear" w:color="auto" w:fill="FFFFFF"/>
            <w:noWrap/>
            <w:vAlign w:val="center"/>
          </w:tcPr>
          <w:p w14:paraId="4AC7DF1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0.117</w:t>
            </w:r>
          </w:p>
        </w:tc>
        <w:tc>
          <w:tcPr>
            <w:tcW w:w="0" w:type="auto"/>
            <w:tcBorders>
              <w:top w:val="nil"/>
              <w:left w:val="nil"/>
              <w:bottom w:val="nil"/>
              <w:right w:val="nil"/>
            </w:tcBorders>
            <w:shd w:val="clear" w:color="auto" w:fill="FFFFFF"/>
            <w:noWrap/>
            <w:vAlign w:val="center"/>
          </w:tcPr>
          <w:p w14:paraId="19554C2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6.5</w:t>
            </w:r>
          </w:p>
        </w:tc>
      </w:tr>
      <w:tr w14:paraId="55461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5F0BEA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318DAD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3580000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C3863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1F15DA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0.095</w:t>
            </w:r>
          </w:p>
        </w:tc>
        <w:tc>
          <w:tcPr>
            <w:tcW w:w="0" w:type="auto"/>
            <w:tcBorders>
              <w:top w:val="nil"/>
              <w:left w:val="nil"/>
              <w:bottom w:val="single" w:color="000000" w:sz="4" w:space="0"/>
              <w:right w:val="nil"/>
            </w:tcBorders>
            <w:shd w:val="clear" w:color="auto" w:fill="FFFFFF"/>
            <w:noWrap/>
            <w:vAlign w:val="center"/>
          </w:tcPr>
          <w:p w14:paraId="227DC6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5.2</w:t>
            </w:r>
          </w:p>
        </w:tc>
      </w:tr>
    </w:tbl>
    <w:p w14:paraId="64C9022B">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w:t>
      </w:r>
      <w:r>
        <w:rPr>
          <w:rFonts w:hint="eastAsia" w:ascii="Times New Roman" w:hAnsi="Times New Roman" w:cs="Times New Roman"/>
          <w:lang w:val="en-US" w:eastAsia="zh-CN"/>
        </w:rPr>
        <w:t xml:space="preserve"> </w:t>
      </w:r>
      <w:r>
        <w:rPr>
          <w:rFonts w:hint="default" w:ascii="Times New Roman" w:hAnsi="Times New Roman" w:eastAsia="宋体" w:cs="Times New Roman"/>
          <w:lang w:eastAsia="zh-CN"/>
        </w:rPr>
        <w:t>ns=不显著</w:t>
      </w:r>
    </w:p>
    <w:p w14:paraId="0A9E7BD6">
      <w:pPr>
        <w:pStyle w:val="4"/>
        <w:numPr>
          <w:ilvl w:val="0"/>
          <w:numId w:val="0"/>
        </w:numPr>
        <w:ind w:firstLine="480" w:firstLineChars="200"/>
        <w:jc w:val="both"/>
        <w:rPr>
          <w:rFonts w:hint="default" w:ascii="Times New Roman" w:hAnsi="Times New Roman" w:eastAsia="宋体" w:cs="Times New Roman"/>
          <w:lang w:eastAsia="zh-CN"/>
        </w:rPr>
      </w:pPr>
    </w:p>
    <w:p>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对于骑行者群体，决定性因素的重要性排序为（如表19所示）：知觉行为控制（总效应为0.324）、感知易用性（总效应为0.213，主要通过PBC的间接效应）、安全态度（总效应为0.196）、感知有用性（总效应为0.149）、主观规范（总效应为0.145）。感知易用性虽然对行为意图的直接效应不显著，但通过提升知觉行为控制产生了重要的间接影响（间接效应为0.148，p&amp;amp;lt;0.001）。</w:t>
      </w:r>
    </w:p>
    <w:p w14:paraId="0B1FEB15">
      <w:pPr>
        <w:pStyle w:val="4"/>
        <w:numPr>
          <w:ilvl w:val="0"/>
          <w:numId w:val="0"/>
        </w:numPr>
        <w:ind w:firstLine="480" w:firstLineChars="200"/>
        <w:jc w:val="both"/>
        <w:rPr>
          <w:rFonts w:hint="default" w:ascii="Times New Roman" w:hAnsi="Times New Roman" w:eastAsia="宋体" w:cs="Times New Roman"/>
          <w:lang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表19 骑行者群体决定性因素重要性排序</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698"/>
        <w:gridCol w:w="1180"/>
        <w:gridCol w:w="1180"/>
        <w:gridCol w:w="1180"/>
        <w:gridCol w:w="939"/>
        <w:gridCol w:w="1821"/>
      </w:tblGrid>
      <w:tr w14:paraId="20C67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0D69B742">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排序</w:t>
            </w:r>
          </w:p>
        </w:tc>
        <w:tc>
          <w:tcPr>
            <w:tcW w:w="0" w:type="auto"/>
            <w:tcBorders>
              <w:top w:val="single" w:color="000000" w:sz="4" w:space="0"/>
              <w:left w:val="nil"/>
              <w:bottom w:val="single" w:color="000000" w:sz="12" w:space="0"/>
              <w:right w:val="nil"/>
            </w:tcBorders>
            <w:shd w:val="clear" w:color="auto" w:fill="FFFFFF"/>
            <w:noWrap/>
            <w:vAlign w:val="center"/>
          </w:tcPr>
          <w:p w14:paraId="1720D890">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影响因素</w:t>
            </w:r>
          </w:p>
        </w:tc>
        <w:tc>
          <w:tcPr>
            <w:tcW w:w="0" w:type="auto"/>
            <w:tcBorders>
              <w:top w:val="single" w:color="000000" w:sz="4" w:space="0"/>
              <w:left w:val="nil"/>
              <w:bottom w:val="single" w:color="000000" w:sz="12" w:space="0"/>
              <w:right w:val="nil"/>
            </w:tcBorders>
            <w:shd w:val="clear" w:color="auto" w:fill="FFFFFF"/>
            <w:noWrap/>
            <w:vAlign w:val="center"/>
          </w:tcPr>
          <w:p w14:paraId="7F2D2B81">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直接效应</w:t>
            </w:r>
          </w:p>
        </w:tc>
        <w:tc>
          <w:tcPr>
            <w:tcW w:w="0" w:type="auto"/>
            <w:tcBorders>
              <w:top w:val="single" w:color="000000" w:sz="4" w:space="0"/>
              <w:left w:val="nil"/>
              <w:bottom w:val="single" w:color="000000" w:sz="12" w:space="0"/>
              <w:right w:val="nil"/>
            </w:tcBorders>
            <w:shd w:val="clear" w:color="auto" w:fill="FFFFFF"/>
            <w:noWrap/>
            <w:vAlign w:val="center"/>
          </w:tcPr>
          <w:p w14:paraId="01154B69">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间接效应</w:t>
            </w:r>
          </w:p>
        </w:tc>
        <w:tc>
          <w:tcPr>
            <w:tcW w:w="0" w:type="auto"/>
            <w:tcBorders>
              <w:top w:val="single" w:color="000000" w:sz="4" w:space="0"/>
              <w:left w:val="nil"/>
              <w:bottom w:val="single" w:color="000000" w:sz="12" w:space="0"/>
              <w:right w:val="nil"/>
            </w:tcBorders>
            <w:shd w:val="clear" w:color="auto" w:fill="FFFFFF"/>
            <w:noWrap/>
            <w:vAlign w:val="center"/>
          </w:tcPr>
          <w:p w14:paraId="0F131E85">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总效应</w:t>
            </w:r>
          </w:p>
        </w:tc>
        <w:tc>
          <w:tcPr>
            <w:tcW w:w="0" w:type="auto"/>
            <w:tcBorders>
              <w:top w:val="single" w:color="000000" w:sz="4" w:space="0"/>
              <w:left w:val="nil"/>
              <w:bottom w:val="single" w:color="000000" w:sz="12" w:space="0"/>
              <w:right w:val="nil"/>
            </w:tcBorders>
            <w:shd w:val="clear" w:color="auto" w:fill="FFFFFF"/>
            <w:noWrap/>
            <w:vAlign w:val="center"/>
          </w:tcPr>
          <w:p w14:paraId="59A3EA28">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相对贡献率(%)</w:t>
            </w:r>
          </w:p>
        </w:tc>
      </w:tr>
      <w:tr w14:paraId="12D92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single" w:color="000000" w:sz="12" w:space="0"/>
              <w:left w:val="nil"/>
              <w:bottom w:val="nil"/>
              <w:right w:val="nil"/>
            </w:tcBorders>
            <w:shd w:val="clear" w:color="auto" w:fill="FFFFFF"/>
            <w:noWrap/>
            <w:vAlign w:val="center"/>
          </w:tcPr>
          <w:p w14:paraId="0DFC736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noWrap/>
            <w:vAlign w:val="center"/>
          </w:tcPr>
          <w:p w14:paraId="18BD4E0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PBC</w:t>
            </w:r>
          </w:p>
        </w:tc>
        <w:tc>
          <w:tcPr>
            <w:tcW w:w="0" w:type="auto"/>
            <w:tcBorders>
              <w:top w:val="single" w:color="000000" w:sz="12" w:space="0"/>
              <w:left w:val="nil"/>
              <w:bottom w:val="nil"/>
              <w:right w:val="nil"/>
            </w:tcBorders>
            <w:shd w:val="clear" w:color="auto" w:fill="FFFFFF"/>
            <w:noWrap/>
            <w:vAlign w:val="center"/>
          </w:tcPr>
          <w:p w14:paraId="332E925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0C4CBF1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single" w:color="000000" w:sz="12" w:space="0"/>
              <w:left w:val="nil"/>
              <w:bottom w:val="nil"/>
              <w:right w:val="nil"/>
            </w:tcBorders>
            <w:shd w:val="clear" w:color="auto" w:fill="FFFFFF"/>
            <w:noWrap/>
            <w:vAlign w:val="center"/>
          </w:tcPr>
          <w:p w14:paraId="32F8831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0.324</w:t>
            </w:r>
          </w:p>
        </w:tc>
        <w:tc>
          <w:tcPr>
            <w:tcW w:w="0" w:type="auto"/>
            <w:tcBorders>
              <w:top w:val="single" w:color="000000" w:sz="12" w:space="0"/>
              <w:left w:val="nil"/>
              <w:bottom w:val="nil"/>
              <w:right w:val="nil"/>
            </w:tcBorders>
            <w:shd w:val="clear" w:color="auto" w:fill="FFFFFF"/>
            <w:noWrap/>
            <w:vAlign w:val="center"/>
          </w:tcPr>
          <w:p w14:paraId="2024E0F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24.8</w:t>
            </w:r>
          </w:p>
        </w:tc>
      </w:tr>
      <w:tr w14:paraId="447D8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02BFB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w:t>
            </w:r>
          </w:p>
        </w:tc>
        <w:tc>
          <w:tcPr>
            <w:tcW w:w="0" w:type="auto"/>
            <w:tcBorders>
              <w:top w:val="nil"/>
              <w:left w:val="nil"/>
              <w:bottom w:val="nil"/>
              <w:right w:val="nil"/>
            </w:tcBorders>
            <w:shd w:val="clear" w:color="auto" w:fill="FFFFFF"/>
            <w:noWrap/>
            <w:vAlign w:val="center"/>
          </w:tcPr>
          <w:p w14:paraId="382BDF4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PEU</w:t>
            </w:r>
          </w:p>
        </w:tc>
        <w:tc>
          <w:tcPr>
            <w:tcW w:w="0" w:type="auto"/>
            <w:tcBorders>
              <w:top w:val="nil"/>
              <w:left w:val="nil"/>
              <w:bottom w:val="nil"/>
              <w:right w:val="nil"/>
            </w:tcBorders>
            <w:shd w:val="clear" w:color="auto" w:fill="FFFFFF"/>
            <w:noWrap/>
            <w:vAlign w:val="center"/>
          </w:tcPr>
          <w:p w14:paraId="334166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0.065(ns)</w:t>
            </w:r>
          </w:p>
        </w:tc>
        <w:tc>
          <w:tcPr>
            <w:tcW w:w="0" w:type="auto"/>
            <w:tcBorders>
              <w:top w:val="nil"/>
              <w:left w:val="nil"/>
              <w:bottom w:val="nil"/>
              <w:right w:val="nil"/>
            </w:tcBorders>
            <w:shd w:val="clear" w:color="auto" w:fill="FFFFFF"/>
            <w:noWrap/>
            <w:vAlign w:val="center"/>
          </w:tcPr>
          <w:p w14:paraId="66E8F8B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6E599D0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0.213</w:t>
            </w:r>
          </w:p>
        </w:tc>
        <w:tc>
          <w:tcPr>
            <w:tcW w:w="0" w:type="auto"/>
            <w:tcBorders>
              <w:top w:val="nil"/>
              <w:left w:val="nil"/>
              <w:bottom w:val="nil"/>
              <w:right w:val="nil"/>
            </w:tcBorders>
            <w:shd w:val="clear" w:color="auto" w:fill="FFFFFF"/>
            <w:noWrap/>
            <w:vAlign w:val="center"/>
          </w:tcPr>
          <w:p w14:paraId="6617B0E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15.3</w:t>
            </w:r>
          </w:p>
        </w:tc>
      </w:tr>
      <w:tr w14:paraId="04DF7F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2F85E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w:t>
            </w:r>
          </w:p>
        </w:tc>
        <w:tc>
          <w:tcPr>
            <w:tcW w:w="0" w:type="auto"/>
            <w:tcBorders>
              <w:top w:val="nil"/>
              <w:left w:val="nil"/>
              <w:bottom w:val="nil"/>
              <w:right w:val="nil"/>
            </w:tcBorders>
            <w:shd w:val="clear" w:color="auto" w:fill="FFFFFF"/>
            <w:noWrap/>
            <w:vAlign w:val="center"/>
          </w:tcPr>
          <w:p w14:paraId="6AB5518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AT</w:t>
            </w:r>
          </w:p>
        </w:tc>
        <w:tc>
          <w:tcPr>
            <w:tcW w:w="0" w:type="auto"/>
            <w:tcBorders>
              <w:top w:val="nil"/>
              <w:left w:val="nil"/>
              <w:bottom w:val="nil"/>
              <w:right w:val="nil"/>
            </w:tcBorders>
            <w:shd w:val="clear" w:color="auto" w:fill="FFFFFF"/>
            <w:noWrap/>
            <w:vAlign w:val="center"/>
          </w:tcPr>
          <w:p w14:paraId="3F5E63A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2AAA30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AD110E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0.196</w:t>
            </w:r>
          </w:p>
        </w:tc>
        <w:tc>
          <w:tcPr>
            <w:tcW w:w="0" w:type="auto"/>
            <w:tcBorders>
              <w:top w:val="nil"/>
              <w:left w:val="nil"/>
              <w:bottom w:val="nil"/>
              <w:right w:val="nil"/>
            </w:tcBorders>
            <w:shd w:val="clear" w:color="auto" w:fill="FFFFFF"/>
            <w:noWrap/>
            <w:vAlign w:val="center"/>
          </w:tcPr>
          <w:p w14:paraId="6582ABB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13.6</w:t>
            </w:r>
          </w:p>
        </w:tc>
      </w:tr>
      <w:tr w14:paraId="3DF0C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9FF39A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4</w:t>
            </w:r>
          </w:p>
        </w:tc>
        <w:tc>
          <w:tcPr>
            <w:tcW w:w="0" w:type="auto"/>
            <w:tcBorders>
              <w:top w:val="nil"/>
              <w:left w:val="nil"/>
              <w:bottom w:val="nil"/>
              <w:right w:val="nil"/>
            </w:tcBorders>
            <w:shd w:val="clear" w:color="auto" w:fill="FFFFFF"/>
            <w:noWrap/>
            <w:vAlign w:val="center"/>
          </w:tcPr>
          <w:p w14:paraId="2FD3E61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PU</w:t>
            </w:r>
          </w:p>
        </w:tc>
        <w:tc>
          <w:tcPr>
            <w:tcW w:w="0" w:type="auto"/>
            <w:tcBorders>
              <w:top w:val="nil"/>
              <w:left w:val="nil"/>
              <w:bottom w:val="nil"/>
              <w:right w:val="nil"/>
            </w:tcBorders>
            <w:shd w:val="clear" w:color="auto" w:fill="FFFFFF"/>
            <w:noWrap/>
            <w:vAlign w:val="center"/>
          </w:tcPr>
          <w:p w14:paraId="59CA8D6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8FC93A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6FDE348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0.149</w:t>
            </w:r>
          </w:p>
        </w:tc>
        <w:tc>
          <w:tcPr>
            <w:tcW w:w="0" w:type="auto"/>
            <w:tcBorders>
              <w:top w:val="nil"/>
              <w:left w:val="nil"/>
              <w:bottom w:val="nil"/>
              <w:right w:val="nil"/>
            </w:tcBorders>
            <w:shd w:val="clear" w:color="auto" w:fill="FFFFFF"/>
            <w:noWrap/>
            <w:vAlign w:val="center"/>
          </w:tcPr>
          <w:p w14:paraId="2E222CE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11.2</w:t>
            </w:r>
          </w:p>
        </w:tc>
      </w:tr>
      <w:tr w14:paraId="4309A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3CCDB4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614519A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RP</w:t>
            </w:r>
          </w:p>
        </w:tc>
        <w:tc>
          <w:tcPr>
            <w:tcW w:w="0" w:type="auto"/>
            <w:tcBorders>
              <w:top w:val="nil"/>
              <w:left w:val="nil"/>
              <w:bottom w:val="nil"/>
              <w:right w:val="nil"/>
            </w:tcBorders>
            <w:shd w:val="clear" w:color="auto" w:fill="FFFFFF"/>
            <w:noWrap/>
            <w:vAlign w:val="center"/>
          </w:tcPr>
          <w:p w14:paraId="22E6376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0.081(ns)</w:t>
            </w:r>
          </w:p>
        </w:tc>
        <w:tc>
          <w:tcPr>
            <w:tcW w:w="0" w:type="auto"/>
            <w:tcBorders>
              <w:top w:val="nil"/>
              <w:left w:val="nil"/>
              <w:bottom w:val="nil"/>
              <w:right w:val="nil"/>
            </w:tcBorders>
            <w:shd w:val="clear" w:color="auto" w:fill="FFFFFF"/>
            <w:noWrap/>
            <w:vAlign w:val="center"/>
          </w:tcPr>
          <w:p w14:paraId="1E9DA45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0.067**</w:t>
            </w:r>
          </w:p>
        </w:tc>
        <w:tc>
          <w:tcPr>
            <w:tcW w:w="0" w:type="auto"/>
            <w:tcBorders>
              <w:top w:val="nil"/>
              <w:left w:val="nil"/>
              <w:bottom w:val="nil"/>
              <w:right w:val="nil"/>
            </w:tcBorders>
            <w:shd w:val="clear" w:color="auto" w:fill="FFFFFF"/>
            <w:noWrap/>
            <w:vAlign w:val="center"/>
          </w:tcPr>
          <w:p w14:paraId="4202C7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0.148</w:t>
            </w:r>
          </w:p>
        </w:tc>
        <w:tc>
          <w:tcPr>
            <w:tcW w:w="0" w:type="auto"/>
            <w:tcBorders>
              <w:top w:val="nil"/>
              <w:left w:val="nil"/>
              <w:bottom w:val="nil"/>
              <w:right w:val="nil"/>
            </w:tcBorders>
            <w:shd w:val="clear" w:color="auto" w:fill="FFFFFF"/>
            <w:noWrap/>
            <w:vAlign w:val="center"/>
          </w:tcPr>
          <w:p w14:paraId="20207F8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10.5</w:t>
            </w:r>
          </w:p>
        </w:tc>
      </w:tr>
      <w:tr w14:paraId="3BFF1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2E5803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6</w:t>
            </w:r>
          </w:p>
        </w:tc>
        <w:tc>
          <w:tcPr>
            <w:tcW w:w="0" w:type="auto"/>
            <w:tcBorders>
              <w:top w:val="nil"/>
              <w:left w:val="nil"/>
              <w:bottom w:val="nil"/>
              <w:right w:val="nil"/>
            </w:tcBorders>
            <w:shd w:val="clear" w:color="auto" w:fill="FFFFFF"/>
            <w:noWrap/>
            <w:vAlign w:val="center"/>
          </w:tcPr>
          <w:p w14:paraId="20849F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SN</w:t>
            </w:r>
          </w:p>
        </w:tc>
        <w:tc>
          <w:tcPr>
            <w:tcW w:w="0" w:type="auto"/>
            <w:tcBorders>
              <w:top w:val="nil"/>
              <w:left w:val="nil"/>
              <w:bottom w:val="nil"/>
              <w:right w:val="nil"/>
            </w:tcBorders>
            <w:shd w:val="clear" w:color="auto" w:fill="FFFFFF"/>
            <w:noWrap/>
            <w:vAlign w:val="center"/>
          </w:tcPr>
          <w:p w14:paraId="6F43B93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CEB42C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nil"/>
              <w:right w:val="nil"/>
            </w:tcBorders>
            <w:shd w:val="clear" w:color="auto" w:fill="FFFFFF"/>
            <w:noWrap/>
            <w:vAlign w:val="center"/>
          </w:tcPr>
          <w:p w14:paraId="33E1DE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0.145</w:t>
            </w:r>
          </w:p>
        </w:tc>
        <w:tc>
          <w:tcPr>
            <w:tcW w:w="0" w:type="auto"/>
            <w:tcBorders>
              <w:top w:val="nil"/>
              <w:left w:val="nil"/>
              <w:bottom w:val="nil"/>
              <w:right w:val="nil"/>
            </w:tcBorders>
            <w:shd w:val="clear" w:color="auto" w:fill="FFFFFF"/>
            <w:noWrap/>
            <w:vAlign w:val="center"/>
          </w:tcPr>
          <w:p w14:paraId="1BD0E7B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9.8</w:t>
            </w:r>
          </w:p>
        </w:tc>
      </w:tr>
      <w:tr w14:paraId="10188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760035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7</w:t>
            </w:r>
          </w:p>
        </w:tc>
        <w:tc>
          <w:tcPr>
            <w:tcW w:w="0" w:type="auto"/>
            <w:tcBorders>
              <w:top w:val="nil"/>
              <w:left w:val="nil"/>
              <w:bottom w:val="single" w:color="000000" w:sz="4" w:space="0"/>
              <w:right w:val="nil"/>
            </w:tcBorders>
            <w:shd w:val="clear" w:color="auto" w:fill="FFFFFF"/>
            <w:noWrap/>
            <w:vAlign w:val="center"/>
          </w:tcPr>
          <w:p w14:paraId="72A32F9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PCE</w:t>
            </w:r>
          </w:p>
        </w:tc>
        <w:tc>
          <w:tcPr>
            <w:tcW w:w="0" w:type="auto"/>
            <w:tcBorders>
              <w:top w:val="nil"/>
              <w:left w:val="nil"/>
              <w:bottom w:val="single" w:color="000000" w:sz="4" w:space="0"/>
              <w:right w:val="nil"/>
            </w:tcBorders>
            <w:shd w:val="clear" w:color="auto" w:fill="FFFFFF"/>
            <w:noWrap/>
            <w:vAlign w:val="center"/>
          </w:tcPr>
          <w:p w14:paraId="0113EF2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w:t>
            </w:r>
          </w:p>
        </w:tc>
        <w:tc>
          <w:tcPr>
            <w:tcW w:w="0" w:type="auto"/>
            <w:tcBorders>
              <w:top w:val="nil"/>
              <w:left w:val="nil"/>
              <w:bottom w:val="single" w:color="000000" w:sz="4" w:space="0"/>
              <w:right w:val="nil"/>
            </w:tcBorders>
            <w:shd w:val="clear" w:color="auto" w:fill="FFFFFF"/>
            <w:noWrap/>
            <w:vAlign w:val="center"/>
          </w:tcPr>
          <w:p w14:paraId="5A04ED6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037A0A5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0.036</w:t>
            </w:r>
          </w:p>
        </w:tc>
        <w:tc>
          <w:tcPr>
            <w:tcW w:w="0" w:type="auto"/>
            <w:tcBorders>
              <w:top w:val="nil"/>
              <w:left w:val="nil"/>
              <w:bottom w:val="single" w:color="000000" w:sz="4" w:space="0"/>
              <w:right w:val="nil"/>
            </w:tcBorders>
            <w:shd w:val="clear" w:color="auto" w:fill="FFFFFF"/>
            <w:noWrap/>
            <w:vAlign w:val="center"/>
          </w:tcPr>
          <w:p w14:paraId="525A607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 xml:space="preserve">3.1</w:t>
            </w:r>
          </w:p>
        </w:tc>
      </w:tr>
    </w:tbl>
    <w:p w14:paraId="5BDA9159">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ind w:firstLine="480" w:firstLineChars="200"/>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注：***p&lt;0.001,**p&lt;0.01,*p&lt;0.05,ns=不显著</w:t>
      </w:r>
    </w:p>
    <w:p w14:paraId="449BE4E7">
      <w:pPr>
        <w:pStyle w:val="4"/>
        <w:numPr>
          <w:ilvl w:val="0"/>
          <w:numId w:val="0"/>
        </w:numPr>
        <w:ind w:firstLine="480" w:firstLineChars="200"/>
        <w:jc w:val="both"/>
        <w:rPr>
          <w:rFonts w:hint="default" w:ascii="Times New Roman" w:hAnsi="Times New Roman" w:eastAsia="宋体" w:cs="Times New Roman"/>
          <w:lang w:eastAsia="zh-CN"/>
        </w:rPr>
      </w:pPr>
    </w:p>
    <w:p w14:paraId="65595021">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进一步的重要性分析采用了相对权重分析（Relative Weight Analysis）方法。结果显示，在行人模型中，安全态度解释了行为意图方差的31.2%，风险感知贡献了18.6%，两者合计近50%。而在骑行者模型中，知觉行为控制贡献了24.8%，感知易用性贡献了15.3%，这两个工具性因素占主导地位。</w:t>
      </w:r>
      <w:r>
        <w:rPr>
          <w:rFonts w:hint="eastAsia" w:ascii="Times New Roman" w:hAnsi="Times New Roman" w:cs="Times New Roman"/>
          <w:lang w:val="en-US" w:eastAsia="zh-CN"/>
        </w:rPr>
        <w:t>此类</w:t>
      </w:r>
      <w:r>
        <w:rPr>
          <w:rFonts w:hint="default" w:ascii="Times New Roman" w:hAnsi="Times New Roman" w:eastAsia="宋体" w:cs="Times New Roman"/>
          <w:lang w:eastAsia="zh-CN"/>
        </w:rPr>
        <w:t>差异清晰地展示了两个群体决策机制的本质区别。</w:t>
      </w:r>
    </w:p>
    <w:p w14:paraId="63DDAB8B">
      <w:pPr>
        <w:pStyle w:val="4"/>
        <w:ind w:left="0" w:leftChars="0" w:firstLine="0" w:firstLineChars="0"/>
        <w:rPr>
          <w:rFonts w:hint="default" w:ascii="黑体" w:hAnsi="黑体" w:eastAsia="黑体" w:cs="黑体"/>
          <w:lang w:val="en-US" w:eastAsia="zh-CN"/>
        </w:rPr>
      </w:pPr>
      <w:r>
        <w:rPr>
          <w:rFonts w:hint="eastAsia" w:ascii="黑体" w:hAnsi="黑体" w:eastAsia="黑体" w:cs="黑体"/>
          <w:lang w:val="en-US" w:eastAsia="zh-CN"/>
        </w:rPr>
        <w:t>（2）共享道路冲突主体—</w:t>
      </w:r>
      <w:r>
        <w:rPr>
          <w:rFonts w:hint="default" w:ascii="黑体" w:hAnsi="黑体" w:eastAsia="黑体" w:cs="黑体"/>
          <w:lang w:val="en-US" w:eastAsia="zh-CN"/>
        </w:rPr>
        <w:t>行人行为决策模型</w:t>
      </w:r>
    </w:p>
    <w:p w14:paraId="60678C14">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基于实证分析结果，</w:t>
      </w:r>
      <w:r>
        <w:rPr>
          <w:rFonts w:hint="eastAsia" w:ascii="Times New Roman" w:hAnsi="Times New Roman" w:cs="Times New Roman"/>
          <w:lang w:val="en-US" w:eastAsia="zh-CN"/>
        </w:rPr>
        <w:t>在校园共享交通环境中</w:t>
      </w:r>
      <w:r>
        <w:rPr>
          <w:rFonts w:hint="default" w:ascii="Times New Roman" w:hAnsi="Times New Roman" w:eastAsia="宋体" w:cs="Times New Roman"/>
          <w:lang w:eastAsia="zh-CN"/>
        </w:rPr>
        <w:t>行人的决策遵循</w:t>
      </w:r>
      <w:r>
        <w:rPr>
          <w:rFonts w:hint="eastAsia" w:ascii="Times New Roman" w:hAnsi="Times New Roman" w:cs="Times New Roman"/>
          <w:lang w:eastAsia="zh-CN"/>
        </w:rPr>
        <w:t>“</w:t>
      </w:r>
      <w:r>
        <w:rPr>
          <w:rFonts w:hint="default" w:ascii="Times New Roman" w:hAnsi="Times New Roman" w:eastAsia="宋体" w:cs="Times New Roman"/>
          <w:lang w:eastAsia="zh-CN"/>
        </w:rPr>
        <w:t>风险感知→</w:t>
      </w:r>
      <w:r>
        <w:rPr>
          <w:rFonts w:hint="eastAsia" w:ascii="Times New Roman" w:hAnsi="Times New Roman" w:cs="Times New Roman"/>
          <w:lang w:val="en-US" w:eastAsia="zh-CN"/>
        </w:rPr>
        <w:t>安全态度</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本研究构建了校园共享道路中行人的行为决策模型</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5</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。该</w:t>
      </w:r>
      <w:r>
        <w:rPr>
          <w:rFonts w:hint="eastAsia" w:ascii="Times New Roman" w:hAnsi="Times New Roman" w:cs="Times New Roman"/>
          <w:lang w:eastAsia="zh-CN"/>
        </w:rPr>
        <w:t>模型</w:t>
      </w:r>
      <w:r>
        <w:rPr>
          <w:rFonts w:hint="default" w:ascii="Times New Roman" w:hAnsi="Times New Roman" w:eastAsia="宋体" w:cs="Times New Roman"/>
          <w:lang w:eastAsia="zh-CN"/>
        </w:rPr>
        <w:t>表明，行人的决策过程起始于对</w:t>
      </w:r>
      <w:r>
        <w:rPr>
          <w:rFonts w:hint="eastAsia" w:ascii="Times New Roman" w:hAnsi="Times New Roman" w:cs="Times New Roman"/>
          <w:lang w:val="en-US" w:eastAsia="zh-CN"/>
        </w:rPr>
        <w:t>共享交通</w:t>
      </w:r>
      <w:r>
        <w:rPr>
          <w:rFonts w:hint="default" w:ascii="Times New Roman" w:hAnsi="Times New Roman" w:eastAsia="宋体" w:cs="Times New Roman"/>
          <w:lang w:eastAsia="zh-CN"/>
        </w:rPr>
        <w:t>环境</w:t>
      </w:r>
      <w:r>
        <w:rPr>
          <w:rFonts w:hint="eastAsia" w:ascii="Times New Roman" w:hAnsi="Times New Roman" w:cs="Times New Roman"/>
          <w:lang w:val="en-US" w:eastAsia="zh-CN"/>
        </w:rPr>
        <w:t>的风险</w:t>
      </w:r>
      <w:r>
        <w:rPr>
          <w:rFonts w:hint="default" w:ascii="Times New Roman" w:hAnsi="Times New Roman" w:eastAsia="宋体" w:cs="Times New Roman"/>
          <w:lang w:eastAsia="zh-CN"/>
        </w:rPr>
        <w:t>感知，此感知主要源于过往的冲突经验（β=0.487）以及对当前环境危险性的评估。较高的风险感知引发了强烈的安全态度（β=0.516）</w:t>
      </w:r>
      <w:r>
        <w:rPr>
          <w:rFonts w:hint="eastAsia" w:ascii="Times New Roman" w:hAnsi="Times New Roman" w:cs="Times New Roman"/>
          <w:lang w:val="en-US" w:eastAsia="zh-CN"/>
        </w:rPr>
        <w:t>变化</w:t>
      </w:r>
      <w:r>
        <w:rPr>
          <w:rFonts w:hint="default" w:ascii="Times New Roman" w:hAnsi="Times New Roman" w:eastAsia="宋体" w:cs="Times New Roman"/>
          <w:lang w:eastAsia="zh-CN"/>
        </w:rPr>
        <w:t>，即对交通安全重要性的认知与重视。这种安全态度进一步转化为谨慎的行为意向（β=0.378），具体表现为更倾向于遵守交通规则、选择安全路线以及避让</w:t>
      </w:r>
      <w:r>
        <w:rPr>
          <w:rFonts w:hint="eastAsia" w:ascii="Times New Roman" w:hAnsi="Times New Roman" w:cs="Times New Roman"/>
          <w:lang w:val="en-US" w:eastAsia="zh-CN"/>
        </w:rPr>
        <w:t>骑行者</w:t>
      </w:r>
      <w:r>
        <w:rPr>
          <w:rFonts w:hint="default" w:ascii="Times New Roman" w:hAnsi="Times New Roman" w:eastAsia="宋体" w:cs="Times New Roman"/>
          <w:lang w:eastAsia="zh-CN"/>
        </w:rPr>
        <w:t>等。</w:t>
      </w:r>
    </w:p>
    <w:p w14:paraId="02F957C8">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行人模型中的调节机制亦值得关注。主观规范在行人群体中发挥了</w:t>
      </w:r>
      <w:r>
        <w:rPr>
          <w:rFonts w:hint="eastAsia" w:ascii="Times New Roman" w:hAnsi="Times New Roman" w:cs="Times New Roman"/>
          <w:lang w:val="en-US" w:eastAsia="zh-CN"/>
        </w:rPr>
        <w:t>“</w:t>
      </w:r>
      <w:r>
        <w:rPr>
          <w:rFonts w:hint="default" w:ascii="Times New Roman" w:hAnsi="Times New Roman" w:cs="Times New Roman"/>
          <w:lang w:val="en-US" w:eastAsia="zh-CN"/>
        </w:rPr>
        <w:t>社会强化</w:t>
      </w:r>
      <w:r>
        <w:rPr>
          <w:rFonts w:hint="eastAsia" w:ascii="Times New Roman" w:hAnsi="Times New Roman" w:cs="Times New Roman"/>
          <w:lang w:val="en-US" w:eastAsia="zh-CN"/>
        </w:rPr>
        <w:t>”</w:t>
      </w:r>
      <w:r>
        <w:rPr>
          <w:rFonts w:hint="default" w:ascii="Times New Roman" w:hAnsi="Times New Roman" w:cs="Times New Roman"/>
          <w:lang w:val="en-US" w:eastAsia="zh-CN"/>
        </w:rPr>
        <w:t>功能。当周围人群均注重安全时，个体的安全行为会得到强化；反之，若环境中存在大量违规行为，个体的安全意识可能会被削弱。知觉行为控制在行人模型中的作用相对较弱（β=0.158），这可能是由于行人的行动自由度较高，较少受到技能或条件的限制。</w:t>
      </w:r>
      <w:r>
        <w:rPr>
          <w:rFonts w:hint="eastAsia" w:ascii="Times New Roman" w:hAnsi="Times New Roman" w:cs="Times New Roman"/>
          <w:lang w:val="en-US" w:eastAsia="zh-CN"/>
        </w:rPr>
        <w:t>同时，</w:t>
      </w:r>
      <w:r>
        <w:rPr>
          <w:rFonts w:hint="default" w:ascii="Times New Roman" w:hAnsi="Times New Roman" w:cs="Times New Roman"/>
          <w:lang w:val="en-US" w:eastAsia="zh-CN"/>
        </w:rPr>
        <w:t>行人决策模型还揭示了一个“脆弱性悖论”：正是由于行人在交通系统中处于弱势地位，缺乏保护措施，反而形成了更强的风险意识和安全态度。数据显示，尽管行人实际经历的冲突事件比例低于骑行者，但其风险感知水平更高。这种高风险感知通过情感路径有效地转化为安全行为意向，形成了自我保护机制。</w:t>
      </w:r>
    </w:p>
    <w:p w14:paraId="42E3779B">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column">
              <wp:posOffset>81280</wp:posOffset>
            </wp:positionH>
            <wp:positionV relativeFrom="paragraph">
              <wp:posOffset>148590</wp:posOffset>
            </wp:positionV>
            <wp:extent cx="5088890" cy="1361440"/>
            <wp:effectExtent l="0" t="0" r="1270" b="10160"/>
            <wp:wrapTopAndBottom/>
            <wp:docPr id="1" name="图片 1"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武汉市社科联-行人和骑行者行为模型"/>
                    <pic:cNvPicPr>
                      <a:picLocks noChangeAspect="1"/>
                    </pic:cNvPicPr>
                  </pic:nvPicPr>
                  <pic:blipFill>
                    <a:blip r:embed="rId12"/>
                    <a:srcRect l="6156" t="8993" r="6264" b="52218"/>
                    <a:stretch>
                      <a:fillRect/>
                    </a:stretch>
                  </pic:blipFill>
                  <pic:spPr>
                    <a:xfrm>
                      <a:off x="0" y="0"/>
                      <a:ext cx="5088890" cy="1361440"/>
                    </a:xfrm>
                    <a:prstGeom prst="rect">
                      <a:avLst/>
                    </a:prstGeom>
                  </pic:spPr>
                </pic:pic>
              </a:graphicData>
            </a:graphic>
          </wp:anchor>
        </w:drawing>
      </w:r>
      <w:r>
        <w:rPr>
          <w:rFonts w:hint="eastAsia" w:ascii="Times New Roman" w:hAnsi="Times New Roman" w:cs="Times New Roman"/>
          <w:lang w:val="en-US" w:eastAsia="zh-CN"/>
        </w:rPr>
        <w:t>图5 行人行为决策模型</w:t>
      </w:r>
    </w:p>
    <w:p w14:paraId="69C7FC11">
      <w:pPr>
        <w:pStyle w:val="4"/>
        <w:numPr>
          <w:ilvl w:val="0"/>
          <w:numId w:val="0"/>
        </w:numPr>
        <w:ind w:firstLine="480" w:firstLineChars="200"/>
        <w:jc w:val="both"/>
        <w:rPr>
          <w:rFonts w:hint="default" w:ascii="Times New Roman" w:hAnsi="Times New Roman" w:eastAsia="宋体" w:cs="Times New Roman"/>
          <w:lang w:val="en-US" w:eastAsia="zh-CN"/>
        </w:rPr>
      </w:pPr>
    </w:p>
    <w:p w14:paraId="3FFBD3B3">
      <w:pPr>
        <w:pStyle w:val="4"/>
        <w:ind w:left="0" w:leftChars="0" w:firstLine="0" w:firstLineChars="0"/>
        <w:rPr>
          <w:rFonts w:hint="default" w:ascii="黑体" w:hAnsi="黑体" w:eastAsia="黑体" w:cs="黑体"/>
          <w:lang w:val="en-US" w:eastAsia="zh-CN"/>
        </w:rPr>
      </w:pPr>
      <w:r>
        <w:rPr>
          <w:rFonts w:hint="default" w:ascii="黑体" w:hAnsi="黑体" w:eastAsia="黑体" w:cs="黑体"/>
          <w:lang w:val="en-US" w:eastAsia="zh-CN"/>
        </w:rPr>
        <w:t>（3）共享道路冲突主体</w:t>
      </w:r>
      <w:r>
        <w:rPr>
          <w:rFonts w:hint="eastAsia" w:ascii="黑体" w:hAnsi="黑体" w:eastAsia="黑体" w:cs="黑体"/>
          <w:lang w:val="en-US" w:eastAsia="zh-CN"/>
        </w:rPr>
        <w:t>—</w:t>
      </w:r>
      <w:r>
        <w:rPr>
          <w:rFonts w:hint="default" w:ascii="黑体" w:hAnsi="黑体" w:eastAsia="黑体" w:cs="黑体"/>
          <w:lang w:val="en-US" w:eastAsia="zh-CN"/>
        </w:rPr>
        <w:t>骑行者行为决策模型</w:t>
      </w:r>
    </w:p>
    <w:p w14:paraId="662D0E3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实证研究结果</w:t>
      </w:r>
      <w:r>
        <w:rPr>
          <w:rFonts w:hint="default" w:ascii="Times New Roman" w:hAnsi="Times New Roman" w:eastAsia="宋体" w:cs="Times New Roman"/>
          <w:lang w:eastAsia="zh-CN"/>
        </w:rPr>
        <w:t>反映了骑行者更注重实际操作层面的因素，遵循</w:t>
      </w:r>
      <w:r>
        <w:rPr>
          <w:rFonts w:hint="eastAsia" w:ascii="Times New Roman" w:hAnsi="Times New Roman" w:cs="Times New Roman"/>
          <w:lang w:eastAsia="zh-CN"/>
        </w:rPr>
        <w:t>“</w:t>
      </w:r>
      <w:r>
        <w:rPr>
          <w:rFonts w:hint="eastAsia" w:ascii="Times New Roman" w:hAnsi="Times New Roman" w:cs="Times New Roman"/>
          <w:lang w:val="en-US" w:eastAsia="zh-CN"/>
        </w:rPr>
        <w:t>感知易用性</w:t>
      </w:r>
      <w:r>
        <w:rPr>
          <w:rFonts w:hint="default" w:ascii="Times New Roman" w:hAnsi="Times New Roman" w:eastAsia="宋体" w:cs="Times New Roman"/>
          <w:lang w:eastAsia="zh-CN"/>
        </w:rPr>
        <w:t>→</w:t>
      </w:r>
      <w:r>
        <w:rPr>
          <w:rFonts w:hint="eastAsia" w:ascii="Times New Roman" w:hAnsi="Times New Roman" w:cs="Times New Roman"/>
          <w:lang w:val="en-US" w:eastAsia="zh-CN"/>
        </w:rPr>
        <w:t>知觉行为控制</w:t>
      </w:r>
      <w:r>
        <w:rPr>
          <w:rFonts w:hint="default" w:ascii="Times New Roman" w:hAnsi="Times New Roman" w:eastAsia="宋体" w:cs="Times New Roman"/>
          <w:lang w:eastAsia="zh-CN"/>
        </w:rPr>
        <w:t>→行为意图</w:t>
      </w:r>
      <w:r>
        <w:rPr>
          <w:rFonts w:hint="eastAsia" w:ascii="Times New Roman" w:hAnsi="Times New Roman" w:cs="Times New Roman"/>
          <w:lang w:eastAsia="zh-CN"/>
        </w:rPr>
        <w:t>”</w:t>
      </w:r>
      <w:r>
        <w:rPr>
          <w:rFonts w:hint="default" w:ascii="Times New Roman" w:hAnsi="Times New Roman" w:eastAsia="宋体" w:cs="Times New Roman"/>
          <w:lang w:eastAsia="zh-CN"/>
        </w:rPr>
        <w:t>的</w:t>
      </w:r>
      <w:r>
        <w:rPr>
          <w:rFonts w:hint="eastAsia" w:ascii="Times New Roman" w:hAnsi="Times New Roman" w:cs="Times New Roman"/>
          <w:lang w:val="en-US" w:eastAsia="zh-CN"/>
        </w:rPr>
        <w:t>行为机理</w:t>
      </w:r>
      <w:r>
        <w:rPr>
          <w:rFonts w:hint="default" w:ascii="Times New Roman" w:hAnsi="Times New Roman" w:eastAsia="宋体" w:cs="Times New Roman"/>
          <w:lang w:eastAsia="zh-CN"/>
        </w:rPr>
        <w:t>。</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骑行者的行为决策模型</w:t>
      </w:r>
      <w:r>
        <w:rPr>
          <w:rFonts w:hint="eastAsia" w:ascii="Times New Roman" w:hAnsi="Times New Roman" w:cs="Times New Roman"/>
          <w:lang w:val="en-US" w:eastAsia="zh-CN"/>
        </w:rPr>
        <w:t>以</w:t>
      </w:r>
      <w:r>
        <w:rPr>
          <w:rFonts w:hint="default" w:ascii="Times New Roman" w:hAnsi="Times New Roman" w:eastAsia="宋体" w:cs="Times New Roman"/>
          <w:lang w:eastAsia="zh-CN"/>
        </w:rPr>
        <w:t>知觉行为控制</w:t>
      </w:r>
      <w:r>
        <w:rPr>
          <w:rFonts w:hint="eastAsia" w:ascii="Times New Roman" w:hAnsi="Times New Roman" w:cs="Times New Roman"/>
          <w:lang w:val="en-US" w:eastAsia="zh-CN"/>
        </w:rPr>
        <w:t>为核心</w:t>
      </w:r>
      <w:r>
        <w:rPr>
          <w:rFonts w:hint="default" w:ascii="Times New Roman" w:hAnsi="Times New Roman" w:eastAsia="宋体" w:cs="Times New Roman"/>
          <w:lang w:eastAsia="zh-CN"/>
        </w:rPr>
        <w:t>，也就是骑行者对自身驾驭交通环境能力的评估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如图</w:t>
      </w:r>
      <w:r>
        <w:rPr>
          <w:rFonts w:hint="eastAsia" w:ascii="Times New Roman" w:hAnsi="Times New Roman" w:cs="Times New Roman"/>
          <w:lang w:val="en-US" w:eastAsia="zh-CN"/>
        </w:rPr>
        <w:t>6</w:t>
      </w:r>
      <w:r>
        <w:rPr>
          <w:rFonts w:hint="eastAsia" w:ascii="Times New Roman" w:hAnsi="Times New Roman" w:eastAsia="宋体" w:cs="Times New Roman"/>
          <w:lang w:val="en-US" w:eastAsia="zh-CN"/>
        </w:rPr>
        <w:t>所示</w:t>
      </w:r>
      <w:r>
        <w:rPr>
          <w:rFonts w:hint="eastAsia" w:ascii="Times New Roman" w:hAnsi="Times New Roman" w:eastAsia="宋体" w:cs="Times New Roman"/>
          <w:lang w:eastAsia="zh-CN"/>
        </w:rPr>
        <w:t>）</w:t>
      </w:r>
      <w:r>
        <w:rPr>
          <w:rFonts w:hint="default" w:ascii="Times New Roman" w:hAnsi="Times New Roman" w:eastAsia="宋体" w:cs="Times New Roman"/>
          <w:lang w:eastAsia="zh-CN"/>
        </w:rPr>
        <w:t>。这种控制感主要受两个因素的影响：其一为感知易用性（β=0.456），即基础设施是否利于骑行；其二为个人的骑行技能与经验。当骑行者认为自身具备应对交通状况的能力时，更易倾向于采取积极的安全行为（β=0.324）。</w:t>
      </w:r>
    </w:p>
    <w:p w14:paraId="7CD983D6">
      <w:pPr>
        <w:pStyle w:val="4"/>
        <w:numPr>
          <w:ilvl w:val="0"/>
          <w:numId w:val="0"/>
        </w:numPr>
        <w:ind w:firstLine="480" w:firstLineChars="20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在骑行者模型中，</w:t>
      </w:r>
      <w:r>
        <w:rPr>
          <w:rFonts w:hint="eastAsia" w:ascii="Times New Roman" w:hAnsi="Times New Roman" w:cs="Times New Roman"/>
          <w:lang w:eastAsia="zh-CN"/>
        </w:rPr>
        <w:t>环境因素</w:t>
      </w:r>
      <w:r>
        <w:rPr>
          <w:rFonts w:hint="eastAsia" w:ascii="Times New Roman" w:hAnsi="Times New Roman" w:cs="Times New Roman"/>
          <w:lang w:val="en-US" w:eastAsia="zh-CN"/>
        </w:rPr>
        <w:t>可能发</w:t>
      </w:r>
      <w:r>
        <w:rPr>
          <w:rFonts w:hint="default" w:ascii="Times New Roman" w:hAnsi="Times New Roman" w:eastAsia="宋体" w:cs="Times New Roman"/>
          <w:lang w:eastAsia="zh-CN"/>
        </w:rPr>
        <w:t>挥着关键作用。感知易用性不仅通过知觉行为控制对行为产生间接影响，还体现了骑行者对</w:t>
      </w:r>
      <w:r>
        <w:rPr>
          <w:rFonts w:hint="eastAsia" w:ascii="Times New Roman" w:hAnsi="Times New Roman" w:cs="Times New Roman"/>
          <w:lang w:val="en-US" w:eastAsia="zh-CN"/>
        </w:rPr>
        <w:t>交通环境资源</w:t>
      </w:r>
      <w:r>
        <w:rPr>
          <w:rFonts w:hint="default" w:ascii="Times New Roman" w:hAnsi="Times New Roman" w:eastAsia="宋体" w:cs="Times New Roman"/>
          <w:lang w:eastAsia="zh-CN"/>
        </w:rPr>
        <w:t>的依赖。良好的自行车道、清晰的标识以及合理的交通设计能够显著增强骑行者的控制感。数据表明，在基础设施完善的区域，骑行者的安全行为意图提升了23.4%。</w:t>
      </w:r>
      <w:r>
        <w:rPr>
          <w:rFonts w:hint="eastAsia" w:ascii="Times New Roman" w:hAnsi="Times New Roman" w:cs="Times New Roman"/>
          <w:lang w:val="en-US" w:eastAsia="zh-CN"/>
        </w:rPr>
        <w:t>因此</w:t>
      </w:r>
      <w:r>
        <w:rPr>
          <w:rFonts w:hint="default" w:ascii="Times New Roman" w:hAnsi="Times New Roman" w:eastAsia="宋体" w:cs="Times New Roman"/>
          <w:lang w:eastAsia="zh-CN"/>
        </w:rPr>
        <w:t>，改善硬件设施或许是提升骑行者安全行为最为有效的途径。值得注意的是，在骑行者模型中，风险感知的作用相对较弱。尽管骑行者经历了较多的冲突事件，但这些经历并未转化为相应的风险意识</w:t>
      </w:r>
      <w:r>
        <w:rPr>
          <w:rFonts w:hint="eastAsia" w:ascii="Times New Roman" w:hAnsi="Times New Roman" w:cs="Times New Roman"/>
          <w:lang w:eastAsia="zh-CN"/>
        </w:rPr>
        <w:t>，</w:t>
      </w:r>
      <w:r>
        <w:rPr>
          <w:rFonts w:hint="default" w:ascii="Times New Roman" w:hAnsi="Times New Roman" w:eastAsia="宋体" w:cs="Times New Roman"/>
          <w:lang w:eastAsia="zh-CN"/>
        </w:rPr>
        <w:t>频繁的冲突经历使骑行者对风险产生了适应，或对自身的应对能力过度自信。这一现象</w:t>
      </w:r>
      <w:r>
        <w:rPr>
          <w:rFonts w:hint="eastAsia" w:ascii="Times New Roman" w:hAnsi="Times New Roman" w:cs="Times New Roman"/>
          <w:lang w:val="en-US" w:eastAsia="zh-CN"/>
        </w:rPr>
        <w:t>表明：</w:t>
      </w:r>
      <w:r>
        <w:rPr>
          <w:rFonts w:hint="default" w:ascii="Times New Roman" w:hAnsi="Times New Roman" w:eastAsia="宋体" w:cs="Times New Roman"/>
          <w:lang w:eastAsia="zh-CN"/>
        </w:rPr>
        <w:t>需要从提升实际控制能力和改善</w:t>
      </w:r>
      <w:r>
        <w:rPr>
          <w:rFonts w:hint="eastAsia" w:ascii="Times New Roman" w:hAnsi="Times New Roman" w:cs="Times New Roman"/>
          <w:lang w:val="en-US" w:eastAsia="zh-CN"/>
        </w:rPr>
        <w:t>共享道路的实际交通</w:t>
      </w:r>
      <w:r>
        <w:rPr>
          <w:rFonts w:hint="default" w:ascii="Times New Roman" w:hAnsi="Times New Roman" w:eastAsia="宋体" w:cs="Times New Roman"/>
          <w:lang w:eastAsia="zh-CN"/>
        </w:rPr>
        <w:t>环境条</w:t>
      </w:r>
      <w:r>
        <w:rPr>
          <w:rFonts w:hint="eastAsia" w:ascii="Times New Roman" w:hAnsi="Times New Roman" w:cs="Times New Roman"/>
          <w:lang w:eastAsia="zh-CN"/>
        </w:rPr>
        <w:t>件等</w:t>
      </w:r>
      <w:r>
        <w:rPr>
          <w:rFonts w:hint="default" w:ascii="Times New Roman" w:hAnsi="Times New Roman" w:eastAsia="宋体" w:cs="Times New Roman"/>
          <w:lang w:eastAsia="zh-CN"/>
        </w:rPr>
        <w:t>方面着手</w:t>
      </w:r>
      <w:r>
        <w:rPr>
          <w:rFonts w:hint="eastAsia" w:ascii="Times New Roman" w:hAnsi="Times New Roman" w:cs="Times New Roman"/>
          <w:lang w:eastAsia="zh-CN"/>
        </w:rPr>
        <w:t>，</w:t>
      </w:r>
      <w:r>
        <w:rPr>
          <w:rFonts w:hint="eastAsia" w:ascii="Times New Roman" w:hAnsi="Times New Roman" w:cs="Times New Roman"/>
          <w:lang w:val="en-US" w:eastAsia="zh-CN"/>
        </w:rPr>
        <w:t>以降低骑行者群体在共享道路环境中的危险交通行为</w:t>
      </w:r>
      <w:r>
        <w:rPr>
          <w:rFonts w:hint="default" w:ascii="Times New Roman" w:hAnsi="Times New Roman" w:eastAsia="宋体" w:cs="Times New Roman"/>
          <w:lang w:eastAsia="zh-CN"/>
        </w:rPr>
        <w:t>。</w:t>
      </w:r>
    </w:p>
    <w:p w14:paraId="76A48764">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drawing>
          <wp:anchor distT="0" distB="0" distL="114300" distR="114300" simplePos="0" relativeHeight="251661312" behindDoc="0" locked="0" layoutInCell="1" allowOverlap="1">
            <wp:simplePos x="0" y="0"/>
            <wp:positionH relativeFrom="column">
              <wp:posOffset>21590</wp:posOffset>
            </wp:positionH>
            <wp:positionV relativeFrom="paragraph">
              <wp:posOffset>158750</wp:posOffset>
            </wp:positionV>
            <wp:extent cx="5231130" cy="1557655"/>
            <wp:effectExtent l="0" t="0" r="0" b="0"/>
            <wp:wrapTopAndBottom/>
            <wp:docPr id="2" name="图片 2" descr="2025武汉市社科联-行人和骑行者行为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武汉市社科联-行人和骑行者行为模型"/>
                    <pic:cNvPicPr>
                      <a:picLocks noChangeAspect="1"/>
                    </pic:cNvPicPr>
                  </pic:nvPicPr>
                  <pic:blipFill>
                    <a:blip r:embed="rId12"/>
                    <a:srcRect l="4757" t="52703" r="5215" b="2918"/>
                    <a:stretch>
                      <a:fillRect/>
                    </a:stretch>
                  </pic:blipFill>
                  <pic:spPr>
                    <a:xfrm>
                      <a:off x="0" y="0"/>
                      <a:ext cx="5231130" cy="1557655"/>
                    </a:xfrm>
                    <a:prstGeom prst="rect">
                      <a:avLst/>
                    </a:prstGeom>
                  </pic:spPr>
                </pic:pic>
              </a:graphicData>
            </a:graphic>
          </wp:anchor>
        </w:drawing>
      </w:r>
      <w:r>
        <w:rPr>
          <w:rFonts w:hint="eastAsia" w:ascii="Times New Roman" w:hAnsi="Times New Roman" w:cs="Times New Roman"/>
          <w:lang w:val="en-US" w:eastAsia="zh-CN"/>
        </w:rPr>
        <w:t>图6 骑行者行为决策模型</w:t>
      </w:r>
    </w:p>
    <w:p w14:paraId="55356B85">
      <w:pPr>
        <w:pStyle w:val="4"/>
        <w:numPr>
          <w:ilvl w:val="0"/>
          <w:numId w:val="0"/>
        </w:numPr>
        <w:ind w:firstLine="480" w:firstLineChars="200"/>
        <w:jc w:val="both"/>
        <w:rPr>
          <w:rFonts w:hint="default" w:ascii="Times New Roman" w:hAnsi="Times New Roman" w:eastAsia="宋体" w:cs="Times New Roman"/>
          <w:lang w:eastAsia="zh-CN"/>
        </w:rPr>
      </w:pPr>
    </w:p>
    <w:p w14:paraId="20970EA0">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3共享道路交通冲突主体认知偏差与需求分析</w:t>
      </w:r>
    </w:p>
    <w:p w14:paraId="5F7459A5">
      <w:pPr>
        <w:pStyle w:val="4"/>
        <w:jc w:val="both"/>
        <w:rPr>
          <w:rFonts w:hint="eastAsia" w:ascii="Times New Roman" w:hAnsi="Times New Roman" w:eastAsia="宋体" w:cs="Times New Roman"/>
          <w:lang w:eastAsia="zh-CN"/>
        </w:rPr>
      </w:pPr>
      <w:r>
        <w:rPr>
          <w:rFonts w:hint="default" w:ascii="Times New Roman" w:hAnsi="Times New Roman" w:cs="Times New Roman"/>
        </w:rPr>
        <w:t>高校校园作为一个独特的交通环境，其共享道路系统承载着步行、骑行等多种交通模式的混合通行需求。在</w:t>
      </w:r>
      <w:r>
        <w:rPr>
          <w:rFonts w:hint="eastAsia" w:ascii="Times New Roman" w:hAnsi="Times New Roman" w:cs="Times New Roman"/>
          <w:lang w:val="en-US" w:eastAsia="zh-CN"/>
        </w:rPr>
        <w:t>此类</w:t>
      </w:r>
      <w:r>
        <w:rPr>
          <w:rFonts w:hint="default" w:ascii="Times New Roman" w:hAnsi="Times New Roman" w:cs="Times New Roman"/>
        </w:rPr>
        <w:t>复杂的交通环境中，道路使用者的主观安全认知与道路客观安全属性之间往往存在显著偏差。</w:t>
      </w:r>
      <w:r>
        <w:rPr>
          <w:rFonts w:hint="eastAsia" w:ascii="Times New Roman" w:hAnsi="Times New Roman" w:cs="Times New Roman"/>
          <w:lang w:val="en-US" w:eastAsia="zh-CN"/>
        </w:rPr>
        <w:t>此类</w:t>
      </w:r>
      <w:r>
        <w:rPr>
          <w:rFonts w:hint="default" w:ascii="Times New Roman" w:hAnsi="Times New Roman" w:cs="Times New Roman"/>
        </w:rPr>
        <w:t>认知偏差不仅影响着</w:t>
      </w:r>
      <w:r>
        <w:rPr>
          <w:rFonts w:hint="eastAsia" w:ascii="Times New Roman" w:hAnsi="Times New Roman" w:cs="Times New Roman"/>
          <w:lang w:val="en-US" w:eastAsia="zh-CN"/>
        </w:rPr>
        <w:t>共享道路</w:t>
      </w:r>
      <w:r>
        <w:rPr>
          <w:rFonts w:hint="default" w:ascii="Times New Roman" w:hAnsi="Times New Roman" w:cs="Times New Roman"/>
        </w:rPr>
        <w:t>交通参与者的行为决策，更是导致交通冲突和事故的重要诱因。本研究旨在深入探究道路客观安全属性与使用者主观认知之间的差异，通过对主客观认知偏差进行量化分析，揭示哪些路段或道路要素被用户低估了风险或高估了安全性，以及导致认知偏差的潜在因素。本研究立足于设计学的人本主义范式</w:t>
      </w:r>
      <w:r>
        <w:rPr>
          <w:rFonts w:hint="eastAsia" w:ascii="Times New Roman" w:hAnsi="Times New Roman" w:cs="Times New Roman"/>
          <w:lang w:eastAsia="zh-CN"/>
        </w:rPr>
        <w:t>，</w:t>
      </w:r>
      <w:r>
        <w:rPr>
          <w:rFonts w:hint="default" w:ascii="Times New Roman" w:hAnsi="Times New Roman" w:cs="Times New Roman"/>
        </w:rPr>
        <w:t>将安全认知偏差作为核心研究对象</w:t>
      </w:r>
      <w:r>
        <w:rPr>
          <w:rFonts w:hint="eastAsia" w:ascii="Times New Roman" w:hAnsi="Times New Roman" w:cs="Times New Roman"/>
          <w:lang w:eastAsia="zh-CN"/>
        </w:rPr>
        <w:t>，</w:t>
      </w:r>
      <w:r>
        <w:rPr>
          <w:rFonts w:hint="default" w:ascii="Times New Roman" w:hAnsi="Times New Roman" w:cs="Times New Roman"/>
        </w:rPr>
        <w:t>旨在揭示</w:t>
      </w:r>
      <w:r>
        <w:rPr>
          <w:rFonts w:hint="eastAsia" w:ascii="Times New Roman" w:hAnsi="Times New Roman" w:cs="Times New Roman"/>
          <w:lang w:val="en-US" w:eastAsia="zh-CN"/>
        </w:rPr>
        <w:t>高校</w:t>
      </w:r>
      <w:r>
        <w:rPr>
          <w:rFonts w:hint="default" w:ascii="Times New Roman" w:hAnsi="Times New Roman" w:cs="Times New Roman"/>
        </w:rPr>
        <w:t>共享道路中主观感知与客观风险之间的系统性差异</w:t>
      </w:r>
      <w:r>
        <w:rPr>
          <w:rFonts w:hint="eastAsia" w:ascii="Times New Roman" w:hAnsi="Times New Roman" w:cs="Times New Roman"/>
          <w:lang w:eastAsia="zh-CN"/>
        </w:rPr>
        <w:t>，</w:t>
      </w:r>
      <w:r>
        <w:rPr>
          <w:rFonts w:hint="default" w:ascii="Times New Roman" w:hAnsi="Times New Roman" w:cs="Times New Roman"/>
        </w:rPr>
        <w:t>并基于这种差异</w:t>
      </w:r>
      <w:r>
        <w:rPr>
          <w:rFonts w:hint="eastAsia" w:ascii="Times New Roman" w:hAnsi="Times New Roman" w:cs="Times New Roman"/>
          <w:lang w:val="en-US" w:eastAsia="zh-CN"/>
        </w:rPr>
        <w:t>形成构建面向高校共享道路的安全引导需求清单</w:t>
      </w:r>
      <w:r>
        <w:rPr>
          <w:rFonts w:hint="default" w:ascii="Times New Roman" w:hAnsi="Times New Roman" w:cs="Times New Roman"/>
        </w:rPr>
        <w:t>。</w:t>
      </w:r>
      <w:r>
        <w:rPr>
          <w:rFonts w:hint="eastAsia" w:ascii="Times New Roman" w:hAnsi="Times New Roman" w:cs="Times New Roman"/>
          <w:lang w:val="en-US" w:eastAsia="zh-CN"/>
        </w:rPr>
        <w:t>本</w:t>
      </w:r>
      <w:r>
        <w:rPr>
          <w:rFonts w:hint="default" w:ascii="Times New Roman" w:hAnsi="Times New Roman" w:cs="Times New Roman"/>
        </w:rPr>
        <w:t>研究关注三个核心问题</w:t>
      </w:r>
      <w:r>
        <w:rPr>
          <w:rFonts w:hint="eastAsia" w:ascii="Times New Roman" w:hAnsi="Times New Roman" w:cs="Times New Roman"/>
          <w:lang w:eastAsia="zh-CN"/>
        </w:rPr>
        <w:t>：</w:t>
      </w:r>
      <w:r>
        <w:rPr>
          <w:rFonts w:hint="default" w:ascii="Times New Roman" w:hAnsi="Times New Roman" w:cs="Times New Roman"/>
        </w:rPr>
        <w:t>第一</w:t>
      </w:r>
      <w:r>
        <w:rPr>
          <w:rFonts w:hint="eastAsia" w:ascii="Times New Roman" w:hAnsi="Times New Roman" w:cs="Times New Roman"/>
          <w:lang w:eastAsia="zh-CN"/>
        </w:rPr>
        <w:t>，</w:t>
      </w:r>
      <w:r>
        <w:rPr>
          <w:rFonts w:hint="eastAsia" w:ascii="Times New Roman" w:hAnsi="Times New Roman" w:cs="Times New Roman"/>
          <w:lang w:val="en-US" w:eastAsia="zh-CN"/>
        </w:rPr>
        <w:t>高校</w:t>
      </w:r>
      <w:r>
        <w:rPr>
          <w:rFonts w:hint="default" w:ascii="Times New Roman" w:hAnsi="Times New Roman" w:cs="Times New Roman"/>
        </w:rPr>
        <w:t>共享道路中安全认知偏差的分布特征是什么</w:t>
      </w:r>
      <w:r>
        <w:rPr>
          <w:rFonts w:hint="eastAsia" w:ascii="Times New Roman" w:hAnsi="Times New Roman" w:cs="Times New Roman"/>
          <w:lang w:eastAsia="zh-CN"/>
        </w:rPr>
        <w:t>；</w:t>
      </w:r>
      <w:r>
        <w:rPr>
          <w:rFonts w:hint="default" w:ascii="Times New Roman" w:hAnsi="Times New Roman" w:cs="Times New Roman"/>
        </w:rPr>
        <w:t>第二</w:t>
      </w:r>
      <w:r>
        <w:rPr>
          <w:rFonts w:hint="eastAsia" w:ascii="Times New Roman" w:hAnsi="Times New Roman" w:cs="Times New Roman"/>
          <w:lang w:eastAsia="zh-CN"/>
        </w:rPr>
        <w:t>，</w:t>
      </w:r>
      <w:r>
        <w:rPr>
          <w:rFonts w:hint="default" w:ascii="Times New Roman" w:hAnsi="Times New Roman" w:cs="Times New Roman"/>
        </w:rPr>
        <w:t>哪些</w:t>
      </w:r>
      <w:r>
        <w:rPr>
          <w:rFonts w:hint="eastAsia" w:ascii="Times New Roman" w:hAnsi="Times New Roman" w:cs="Times New Roman"/>
          <w:lang w:val="en-US" w:eastAsia="zh-CN"/>
        </w:rPr>
        <w:t>共享道路</w:t>
      </w:r>
      <w:r>
        <w:rPr>
          <w:rFonts w:hint="default" w:ascii="Times New Roman" w:hAnsi="Times New Roman" w:cs="Times New Roman"/>
        </w:rPr>
        <w:t>环境要素对认知偏差具有显著影响</w:t>
      </w:r>
      <w:r>
        <w:rPr>
          <w:rFonts w:hint="eastAsia" w:ascii="Times New Roman" w:hAnsi="Times New Roman" w:cs="Times New Roman"/>
          <w:lang w:eastAsia="zh-CN"/>
        </w:rPr>
        <w:t>；</w:t>
      </w:r>
      <w:r>
        <w:rPr>
          <w:rFonts w:hint="default" w:ascii="Times New Roman" w:hAnsi="Times New Roman" w:cs="Times New Roman"/>
        </w:rPr>
        <w:t>第三</w:t>
      </w:r>
      <w:r>
        <w:rPr>
          <w:rFonts w:hint="eastAsia" w:ascii="Times New Roman" w:hAnsi="Times New Roman" w:cs="Times New Roman"/>
          <w:lang w:eastAsia="zh-CN"/>
        </w:rPr>
        <w:t>，</w:t>
      </w:r>
      <w:r>
        <w:rPr>
          <w:rFonts w:hint="eastAsia" w:ascii="Times New Roman" w:hAnsi="Times New Roman" w:cs="Times New Roman"/>
          <w:lang w:val="en-US" w:eastAsia="zh-CN"/>
        </w:rPr>
        <w:t>通过哪些需求能够</w:t>
      </w:r>
      <w:r>
        <w:rPr>
          <w:rFonts w:hint="default" w:ascii="Times New Roman" w:hAnsi="Times New Roman" w:cs="Times New Roman"/>
        </w:rPr>
        <w:t>引导设计干预缩小认知偏差</w:t>
      </w:r>
      <w:r>
        <w:rPr>
          <w:rFonts w:hint="eastAsia" w:ascii="Times New Roman" w:hAnsi="Times New Roman" w:cs="Times New Roman"/>
          <w:lang w:eastAsia="zh-CN"/>
        </w:rPr>
        <w:t>，</w:t>
      </w:r>
      <w:r>
        <w:rPr>
          <w:rFonts w:hint="default" w:ascii="Times New Roman" w:hAnsi="Times New Roman" w:cs="Times New Roman"/>
        </w:rPr>
        <w:t>提升道路使用的安全性与舒适性</w:t>
      </w:r>
      <w:r>
        <w:rPr>
          <w:rFonts w:hint="eastAsia" w:ascii="Times New Roman" w:hAnsi="Times New Roman" w:cs="Times New Roman"/>
          <w:lang w:eastAsia="zh-CN"/>
        </w:rPr>
        <w:t>。</w:t>
      </w:r>
    </w:p>
    <w:p w14:paraId="0BF16573">
      <w:pPr>
        <w:pStyle w:val="4"/>
        <w:jc w:val="both"/>
        <w:rPr>
          <w:rFonts w:hint="default" w:ascii="Times New Roman" w:hAnsi="Times New Roman" w:cs="Times New Roman"/>
          <w:lang w:eastAsia="zh-CN"/>
        </w:rPr>
      </w:pPr>
      <w:r>
        <w:rPr>
          <w:rFonts w:hint="default" w:ascii="Times New Roman" w:hAnsi="Times New Roman" w:cs="Times New Roman"/>
          <w:lang w:eastAsia="zh-CN"/>
        </w:rPr>
        <w:t>通过系统的实证研究，本研究预期形成四</w:t>
      </w:r>
      <w:r>
        <w:rPr>
          <w:rFonts w:hint="eastAsia" w:ascii="Times New Roman" w:hAnsi="Times New Roman" w:cs="Times New Roman"/>
          <w:lang w:val="en-US" w:eastAsia="zh-CN"/>
        </w:rPr>
        <w:t>项</w:t>
      </w:r>
      <w:r>
        <w:rPr>
          <w:rFonts w:hint="default" w:ascii="Times New Roman" w:hAnsi="Times New Roman" w:cs="Times New Roman"/>
          <w:lang w:eastAsia="zh-CN"/>
        </w:rPr>
        <w:t>核心</w:t>
      </w:r>
      <w:r>
        <w:rPr>
          <w:rFonts w:hint="eastAsia" w:ascii="Times New Roman" w:hAnsi="Times New Roman" w:cs="Times New Roman"/>
          <w:lang w:val="en-US" w:eastAsia="zh-CN"/>
        </w:rPr>
        <w:t>内容</w:t>
      </w:r>
      <w:r>
        <w:rPr>
          <w:rFonts w:hint="default" w:ascii="Times New Roman" w:hAnsi="Times New Roman" w:cs="Times New Roman"/>
          <w:lang w:eastAsia="zh-CN"/>
        </w:rPr>
        <w:t>。首先</w:t>
      </w:r>
      <w:r>
        <w:rPr>
          <w:rFonts w:hint="eastAsia" w:ascii="Times New Roman" w:hAnsi="Times New Roman" w:cs="Times New Roman"/>
          <w:lang w:eastAsia="zh-CN"/>
        </w:rPr>
        <w:t>，</w:t>
      </w:r>
      <w:r>
        <w:rPr>
          <w:rFonts w:hint="default" w:ascii="Times New Roman" w:hAnsi="Times New Roman" w:cs="Times New Roman"/>
          <w:lang w:eastAsia="zh-CN"/>
        </w:rPr>
        <w:t>建立校园共享道路主客观安全评价体系，该体系将整合道路物理特征、交通流特征、环境设施特征三个维度，形成标准化的认知偏差测量工具。其次</w:t>
      </w:r>
      <w:r>
        <w:rPr>
          <w:rFonts w:hint="eastAsia" w:ascii="Times New Roman" w:hAnsi="Times New Roman" w:cs="Times New Roman"/>
          <w:lang w:eastAsia="zh-CN"/>
        </w:rPr>
        <w:t>，</w:t>
      </w:r>
      <w:r>
        <w:rPr>
          <w:rFonts w:hint="default" w:ascii="Times New Roman" w:hAnsi="Times New Roman" w:cs="Times New Roman"/>
          <w:lang w:eastAsia="zh-CN"/>
        </w:rPr>
        <w:t>识别典型认知偏差场景类型，通过聚类分析和模式识别，归纳出具有普遍性的偏差模式及其环境特征。第三</w:t>
      </w:r>
      <w:r>
        <w:rPr>
          <w:rFonts w:hint="eastAsia" w:ascii="Times New Roman" w:hAnsi="Times New Roman" w:cs="Times New Roman"/>
          <w:lang w:eastAsia="zh-CN"/>
        </w:rPr>
        <w:t>，</w:t>
      </w:r>
      <w:r>
        <w:rPr>
          <w:rFonts w:hint="default" w:ascii="Times New Roman" w:hAnsi="Times New Roman" w:cs="Times New Roman"/>
          <w:lang w:eastAsia="zh-CN"/>
        </w:rPr>
        <w:t>构建认知偏差影响因素模型，通过多层次统计分析，量化各类因素对认知偏差的影响权重和作用机制。最后</w:t>
      </w:r>
      <w:r>
        <w:rPr>
          <w:rFonts w:hint="eastAsia" w:ascii="Times New Roman" w:hAnsi="Times New Roman" w:cs="Times New Roman"/>
          <w:lang w:eastAsia="zh-CN"/>
        </w:rPr>
        <w:t>，</w:t>
      </w:r>
      <w:r>
        <w:rPr>
          <w:rFonts w:hint="default" w:ascii="Times New Roman" w:hAnsi="Times New Roman" w:cs="Times New Roman"/>
          <w:lang w:eastAsia="zh-CN"/>
        </w:rPr>
        <w:t>形成面向行人与骑行者的道路标识系统视觉设计需求清单，并明确各需求的优先级和实施建议，为后续视觉引导系统原型设计提供科学依据。</w:t>
      </w:r>
    </w:p>
    <w:p w14:paraId="2C47A758">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.1理论</w:t>
      </w:r>
      <w:r>
        <w:rPr>
          <w:rFonts w:hint="eastAsia" w:ascii="黑体" w:hAnsi="黑体" w:eastAsia="黑体"/>
          <w:b w:val="0"/>
          <w:bCs w:val="0"/>
          <w:sz w:val="30"/>
          <w:szCs w:val="30"/>
          <w:lang w:val="en-US" w:eastAsia="zh-CN"/>
        </w:rPr>
        <w:t>研究</w:t>
      </w:r>
      <w:r>
        <w:rPr>
          <w:rFonts w:hint="default" w:ascii="黑体" w:hAnsi="黑体" w:eastAsia="黑体"/>
          <w:b w:val="0"/>
          <w:bCs w:val="0"/>
          <w:sz w:val="30"/>
          <w:szCs w:val="30"/>
          <w:lang w:val="en-US" w:eastAsia="zh-CN"/>
        </w:rPr>
        <w:t>框架</w:t>
      </w:r>
      <w:r>
        <w:rPr>
          <w:rFonts w:hint="eastAsia" w:ascii="黑体" w:hAnsi="黑体" w:eastAsia="黑体"/>
          <w:b w:val="0"/>
          <w:bCs w:val="0"/>
          <w:sz w:val="30"/>
          <w:szCs w:val="30"/>
          <w:lang w:val="en-US" w:eastAsia="zh-CN"/>
        </w:rPr>
        <w:t>及指标</w:t>
      </w:r>
      <w:r>
        <w:rPr>
          <w:rFonts w:hint="default" w:ascii="黑体" w:hAnsi="黑体" w:eastAsia="黑体"/>
          <w:b w:val="0"/>
          <w:bCs w:val="0"/>
          <w:sz w:val="30"/>
          <w:szCs w:val="30"/>
          <w:lang w:val="en-US" w:eastAsia="zh-CN"/>
        </w:rPr>
        <w:t>构建</w:t>
      </w:r>
    </w:p>
    <w:p w14:paraId="29105CE8">
      <w:pPr>
        <w:pStyle w:val="4"/>
        <w:jc w:val="both"/>
        <w:rPr>
          <w:rFonts w:hint="default" w:ascii="Times New Roman" w:hAnsi="Times New Roman" w:cs="Times New Roman"/>
          <w:lang w:val="en-US" w:eastAsia="zh-CN"/>
        </w:rPr>
      </w:pPr>
      <w:r>
        <w:rPr>
          <w:rFonts w:hint="default" w:ascii="Times New Roman" w:hAnsi="Times New Roman" w:cs="Times New Roman"/>
          <w:lang w:eastAsia="zh-CN"/>
        </w:rPr>
        <w:t>本研究采用混合方法研究范式</w:t>
      </w:r>
      <w:r>
        <w:rPr>
          <w:rFonts w:hint="eastAsia" w:ascii="Times New Roman" w:hAnsi="Times New Roman" w:cs="Times New Roman"/>
          <w:lang w:eastAsia="zh-CN"/>
        </w:rPr>
        <w:t>，</w:t>
      </w:r>
      <w:r>
        <w:rPr>
          <w:rFonts w:hint="default" w:ascii="Times New Roman" w:hAnsi="Times New Roman" w:cs="Times New Roman"/>
          <w:lang w:eastAsia="zh-CN"/>
        </w:rPr>
        <w:t>整合定量实验与定性探究的优势</w:t>
      </w:r>
      <w:r>
        <w:rPr>
          <w:rFonts w:hint="eastAsia" w:ascii="Times New Roman" w:hAnsi="Times New Roman" w:cs="Times New Roman"/>
          <w:lang w:eastAsia="zh-CN"/>
        </w:rPr>
        <w:t>，</w:t>
      </w:r>
      <w:r>
        <w:rPr>
          <w:rFonts w:hint="default" w:ascii="Times New Roman" w:hAnsi="Times New Roman" w:cs="Times New Roman"/>
          <w:lang w:eastAsia="zh-CN"/>
        </w:rPr>
        <w:t>构建</w:t>
      </w:r>
      <w:r>
        <w:rPr>
          <w:rFonts w:hint="eastAsia" w:ascii="Times New Roman" w:hAnsi="Times New Roman" w:cs="Times New Roman"/>
          <w:lang w:eastAsia="zh-CN"/>
        </w:rPr>
        <w:t>“</w:t>
      </w:r>
      <w:r>
        <w:rPr>
          <w:rFonts w:hint="default" w:ascii="Times New Roman" w:hAnsi="Times New Roman" w:cs="Times New Roman"/>
          <w:lang w:eastAsia="zh-CN"/>
        </w:rPr>
        <w:t>测量</w:t>
      </w:r>
      <w:r>
        <w:rPr>
          <w:rFonts w:hint="eastAsia" w:ascii="Times New Roman" w:hAnsi="Times New Roman" w:cs="Times New Roman"/>
          <w:lang w:eastAsia="zh-CN"/>
        </w:rPr>
        <w:t>-</w:t>
      </w:r>
      <w:r>
        <w:rPr>
          <w:rFonts w:hint="default" w:ascii="Times New Roman" w:hAnsi="Times New Roman" w:cs="Times New Roman"/>
          <w:lang w:eastAsia="zh-CN"/>
        </w:rPr>
        <w:t>解释</w:t>
      </w:r>
      <w:r>
        <w:rPr>
          <w:rFonts w:hint="eastAsia" w:ascii="Times New Roman" w:hAnsi="Times New Roman" w:cs="Times New Roman"/>
          <w:lang w:eastAsia="zh-CN"/>
        </w:rPr>
        <w:t>-</w:t>
      </w:r>
      <w:r>
        <w:rPr>
          <w:rFonts w:hint="default" w:ascii="Times New Roman" w:hAnsi="Times New Roman" w:cs="Times New Roman"/>
          <w:lang w:eastAsia="zh-CN"/>
        </w:rPr>
        <w:t>设计</w:t>
      </w:r>
      <w:r>
        <w:rPr>
          <w:rFonts w:hint="eastAsia" w:ascii="Times New Roman" w:hAnsi="Times New Roman" w:cs="Times New Roman"/>
          <w:lang w:eastAsia="zh-CN"/>
        </w:rPr>
        <w:t>”</w:t>
      </w:r>
      <w:r>
        <w:rPr>
          <w:rFonts w:hint="default" w:ascii="Times New Roman" w:hAnsi="Times New Roman" w:cs="Times New Roman"/>
          <w:lang w:eastAsia="zh-CN"/>
        </w:rPr>
        <w:t>三阶段研究路径。研究方法体系包括三个核心模块</w:t>
      </w:r>
      <w:r>
        <w:rPr>
          <w:rFonts w:hint="eastAsia" w:ascii="Times New Roman" w:hAnsi="Times New Roman" w:cs="Times New Roman"/>
          <w:lang w:eastAsia="zh-CN"/>
        </w:rPr>
        <w:t>：</w:t>
      </w:r>
      <w:r>
        <w:rPr>
          <w:rFonts w:hint="default" w:ascii="Times New Roman" w:hAnsi="Times New Roman" w:cs="Times New Roman"/>
          <w:lang w:eastAsia="zh-CN"/>
        </w:rPr>
        <w:t>基于AI生成场景的在线问卷调查、主客观数据的统计分析与偏差量化、深度访谈与参与式设计工作坊。</w:t>
      </w:r>
      <w:r>
        <w:rPr>
          <w:rFonts w:hint="eastAsia" w:ascii="Times New Roman" w:hAnsi="Times New Roman" w:cs="Times New Roman"/>
          <w:lang w:val="en-US" w:eastAsia="zh-CN"/>
        </w:rPr>
        <w:t>此类多重方法融合的</w:t>
      </w:r>
      <w:r>
        <w:rPr>
          <w:rFonts w:hint="default" w:ascii="Times New Roman" w:hAnsi="Times New Roman" w:cs="Times New Roman"/>
          <w:lang w:eastAsia="zh-CN"/>
        </w:rPr>
        <w:t>策略旨在从不同视角审视认知偏差现象</w:t>
      </w:r>
      <w:r>
        <w:rPr>
          <w:rFonts w:hint="eastAsia" w:ascii="Times New Roman" w:hAnsi="Times New Roman" w:cs="Times New Roman"/>
          <w:lang w:eastAsia="zh-CN"/>
        </w:rPr>
        <w:t>，</w:t>
      </w:r>
      <w:r>
        <w:rPr>
          <w:rFonts w:hint="default" w:ascii="Times New Roman" w:hAnsi="Times New Roman" w:cs="Times New Roman"/>
          <w:lang w:eastAsia="zh-CN"/>
        </w:rPr>
        <w:t>既获得大样本的量化证据</w:t>
      </w:r>
      <w:r>
        <w:rPr>
          <w:rFonts w:hint="eastAsia" w:ascii="Times New Roman" w:hAnsi="Times New Roman" w:cs="Times New Roman"/>
          <w:lang w:eastAsia="zh-CN"/>
        </w:rPr>
        <w:t>，</w:t>
      </w:r>
      <w:r>
        <w:rPr>
          <w:rFonts w:hint="default" w:ascii="Times New Roman" w:hAnsi="Times New Roman" w:cs="Times New Roman"/>
          <w:lang w:eastAsia="zh-CN"/>
        </w:rPr>
        <w:t>又深入挖掘个体的认知过程和需求。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课题在申报阶段曾设想借助焦点小组同步采集受试者面对不同设计条件时的生理反应数据。在研究实施过程中，考虑到生理测量设备在真实通行情境中的佩戴干扰、校园场景下伦理审查的复杂性以及样本规模的可行性，本研究将这一部分调整为以标准化场景图片为刺激材料的主观安全评分与深度访谈相结合的方式，通过大样本的主观评分获取认知偏差的量化证据，并借助访谈还原认知过程。此项调整不改变本子任务的研究目标与研究逻辑，但生理指标的采集有待后续研究予以补充。</w:t>
      </w:r>
    </w:p>
    <w:p w14:paraId="285F3D46">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基于AIGC场景模拟的主观认知指标构建</w:t>
      </w:r>
    </w:p>
    <w:p>
      <w:pPr>
        <w:pStyle w:val="4"/>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为系统探究高校共享道路下不同环境条件下的安全认知特征，本研究采用AIGC图像生成技术（Stable Diffusion和DALL-E 3）创建标准化的道路场景实验材料。本研究共选出道路宽度、视距条件、标识系统密度、照明水平、路面质量、分割形式、交通流量、景观复杂度共八个核心变量作为高校共享道路交通环境主观认知指标。八个核心变量的选择遵循两层逻辑：第一层是客观安全核心维度，直接对应前期研究关于提取的“面向行人与骑行者的校园共享道路交通环境特征要素”中确立的道路安全评估指标体系，包括道路宽度、视距条件、标识系统、照明水平、路面质量五项；第二层是认知影响补充维度，用于探索除客观安全指标外影响主观认知的环境因素，包括分隔形式、交通流量、景观复杂度三项。各变量各选取三个不同水平，其定义与设置依据如表20所示。上述8类变量及其不同水平构成3*3*3*3*3*3*3*3的完整因子设计空间，理论上可生成6561种场景组合。考虑到问卷长度限制和参与者认知负荷</w:t>
      </w:r>
      <w:r>
        <w:rPr>
          <w:rFonts w:hint="eastAsia" w:ascii="Times New Roman" w:hAnsi="Times New Roman" w:cs="Times New Roman"/>
          <w:lang w:val="en-US" w:eastAsia="zh-CN"/>
          <w:vertAlign w:val="superscript"/>
        </w:rPr>
        <w:t xml:space="preserve">[50]</w:t>
      </w:r>
      <w:r>
        <w:rPr>
          <w:rFonts w:hint="eastAsia" w:ascii="Times New Roman" w:hAnsi="Times New Roman" w:cs="Times New Roman"/>
          <w:lang w:val="en-US" w:eastAsia="zh-CN"/>
        </w:rPr>
        <w:t xml:space="preserve">，本研究采用正交实验设计方法，通过统计优化算法筛选出96个具有代表性的场景组合，确保主效应和关键交互效应的可估计性。</w:t>
      </w:r>
    </w:p>
    <w:p w14:paraId="6C20C209">
      <w:pPr>
        <w:pStyle w:val="4"/>
        <w:jc w:val="both"/>
        <w:rPr>
          <w:rFonts w:hint="default"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表20 高校共享道路交通环境主观认知指标及其水平</w:t>
      </w:r>
    </w:p>
    <w:tbl>
      <w:tblPr>
        <w:tblStyle w:val="8"/>
        <w:tblW w:w="8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73"/>
        <w:gridCol w:w="2225"/>
        <w:gridCol w:w="5000"/>
      </w:tblGrid>
      <w:tr w14:paraId="774F3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12" w:space="0"/>
              <w:right w:val="nil"/>
            </w:tcBorders>
            <w:shd w:val="clear" w:color="auto" w:fill="FFFFFF"/>
            <w:noWrap/>
            <w:vAlign w:val="center"/>
          </w:tcPr>
          <w:p w14:paraId="3BF9398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变量类别</w:t>
            </w:r>
          </w:p>
        </w:tc>
        <w:tc>
          <w:tcPr>
            <w:tcW w:w="2225" w:type="dxa"/>
            <w:tcBorders>
              <w:top w:val="single" w:color="000000" w:sz="4" w:space="0"/>
              <w:left w:val="nil"/>
              <w:bottom w:val="single" w:color="000000" w:sz="12" w:space="0"/>
              <w:right w:val="nil"/>
            </w:tcBorders>
            <w:shd w:val="clear" w:color="auto" w:fill="FFFFFF"/>
            <w:noWrap/>
            <w:vAlign w:val="center"/>
          </w:tcPr>
          <w:p w14:paraId="3AD7FC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水平设置</w:t>
            </w:r>
          </w:p>
        </w:tc>
        <w:tc>
          <w:tcPr>
            <w:tcW w:w="5000" w:type="dxa"/>
            <w:tcBorders>
              <w:top w:val="single" w:color="000000" w:sz="4" w:space="0"/>
              <w:left w:val="nil"/>
              <w:bottom w:val="single" w:color="000000" w:sz="12" w:space="0"/>
              <w:right w:val="nil"/>
            </w:tcBorders>
            <w:shd w:val="clear" w:color="auto" w:fill="FFFFFF"/>
            <w:noWrap/>
            <w:vAlign w:val="center"/>
          </w:tcPr>
          <w:p w14:paraId="72E9EC0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定义与设置依据</w:t>
            </w:r>
          </w:p>
        </w:tc>
      </w:tr>
      <w:tr w14:paraId="2318B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41" w:hRule="atLeast"/>
          <w:jc w:val="center"/>
        </w:trPr>
        <w:tc>
          <w:tcPr>
            <w:tcW w:w="1273" w:type="dxa"/>
            <w:tcBorders>
              <w:top w:val="single" w:color="000000" w:sz="12" w:space="0"/>
              <w:left w:val="nil"/>
              <w:bottom w:val="single" w:color="000000" w:sz="4" w:space="0"/>
              <w:right w:val="nil"/>
            </w:tcBorders>
            <w:shd w:val="clear" w:color="auto" w:fill="FFFFFF"/>
            <w:noWrap/>
            <w:vAlign w:val="center"/>
          </w:tcPr>
          <w:p w14:paraId="26E56AD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tc>
        <w:tc>
          <w:tcPr>
            <w:tcW w:w="2225" w:type="dxa"/>
            <w:tcBorders>
              <w:top w:val="single" w:color="000000" w:sz="12" w:space="0"/>
              <w:left w:val="nil"/>
              <w:bottom w:val="single" w:color="000000" w:sz="4" w:space="0"/>
              <w:right w:val="nil"/>
            </w:tcBorders>
            <w:shd w:val="clear" w:color="auto" w:fill="FFFFFF"/>
            <w:noWrap/>
            <w:vAlign w:val="center"/>
          </w:tcPr>
          <w:p w14:paraId="7A3209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2.5m（最小功能性）</w:t>
            </w:r>
          </w:p>
          <w:p w14:paraId="26EC50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3.5m（常规舒适）</w:t>
            </w:r>
          </w:p>
          <w:p w14:paraId="49215F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4.5m（通行充裕）</w:t>
            </w:r>
          </w:p>
        </w:tc>
        <w:tc>
          <w:tcPr>
            <w:tcW w:w="5000" w:type="dxa"/>
            <w:tcBorders>
              <w:top w:val="single" w:color="000000" w:sz="12" w:space="0"/>
              <w:left w:val="nil"/>
              <w:bottom w:val="single" w:color="000000" w:sz="4" w:space="0"/>
              <w:right w:val="nil"/>
            </w:tcBorders>
            <w:shd w:val="clear" w:color="auto" w:fill="FFFFFF"/>
            <w:noWrap/>
            <w:vAlign w:val="center"/>
          </w:tcPr>
          <w:p>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依据《城市道路工程设计规范》</w:t>
            </w:r>
            <w:r>
              <w:rPr>
                <w:rFonts w:hint="eastAsia" w:ascii="Times New Roman" w:hAnsi="Times New Roman" w:eastAsia="宋体" w:cs="Times New Roman"/>
                <w:b w:val="0"/>
                <w:color w:val="000000"/>
                <w:kern w:val="0"/>
                <w:sz w:val="24"/>
                <w:szCs w:val="24"/>
                <w:lang w:val="en-US" w:eastAsia="zh-CN" w:bidi="ar"/>
                <w:vertAlign w:val="superscript"/>
              </w:rPr>
              <w:t xml:space="preserve">[71]</w:t>
            </w:r>
            <w:r>
              <w:rPr>
                <w:rFonts w:hint="eastAsia" w:ascii="Times New Roman" w:hAnsi="Times New Roman" w:eastAsia="宋体" w:cs="Times New Roman"/>
                <w:b w:val="0"/>
                <w:color w:val="000000"/>
                <w:kern w:val="0"/>
                <w:sz w:val="24"/>
                <w:szCs w:val="24"/>
                <w:lang w:val="en-US" w:eastAsia="zh-CN" w:bidi="ar"/>
              </w:rPr>
              <w:t xml:space="preserve">；宽度影响拥挤感、避让空间；宽度增加降低风险但可能诱发速度提升。</w:t>
            </w:r>
          </w:p>
        </w:tc>
      </w:tr>
      <w:tr w14:paraId="72220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36"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1EB8C6B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tc>
        <w:tc>
          <w:tcPr>
            <w:tcW w:w="2225" w:type="dxa"/>
            <w:tcBorders>
              <w:top w:val="single" w:color="000000" w:sz="4" w:space="0"/>
              <w:left w:val="nil"/>
              <w:bottom w:val="single" w:color="000000" w:sz="4" w:space="0"/>
              <w:right w:val="nil"/>
            </w:tcBorders>
            <w:shd w:val="clear" w:color="auto" w:fill="FFFFFF"/>
            <w:noWrap/>
            <w:vAlign w:val="center"/>
          </w:tcPr>
          <w:p w14:paraId="792851B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w:t>
            </w:r>
          </w:p>
          <w:p w14:paraId="0ABC88E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部分遮挡</w:t>
            </w:r>
          </w:p>
          <w:p w14:paraId="2B68B6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严重遮挡</w:t>
            </w:r>
          </w:p>
        </w:tc>
        <w:tc>
          <w:tcPr>
            <w:tcW w:w="5000" w:type="dxa"/>
            <w:tcBorders>
              <w:top w:val="single" w:color="000000" w:sz="4" w:space="0"/>
              <w:left w:val="nil"/>
              <w:bottom w:val="single" w:color="000000" w:sz="4" w:space="0"/>
              <w:right w:val="nil"/>
            </w:tcBorders>
            <w:shd w:val="clear" w:color="auto" w:fill="FFFFFF"/>
            <w:noWrap/>
            <w:vAlign w:val="center"/>
          </w:tcPr>
          <w:p w14:paraId="69F9AB75">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遮挡源：植被、建筑转角、停放车辆；遮挡降低对潜在冲突的预判能力；基于“视线–反应时间”模型。</w:t>
            </w:r>
          </w:p>
        </w:tc>
      </w:tr>
      <w:tr w14:paraId="2D183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61B1B82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标识系统密度</w:t>
            </w:r>
          </w:p>
        </w:tc>
        <w:tc>
          <w:tcPr>
            <w:tcW w:w="2225" w:type="dxa"/>
            <w:tcBorders>
              <w:top w:val="single" w:color="000000" w:sz="4" w:space="0"/>
              <w:left w:val="nil"/>
              <w:bottom w:val="single" w:color="000000" w:sz="4" w:space="0"/>
              <w:right w:val="nil"/>
            </w:tcBorders>
            <w:shd w:val="clear" w:color="auto" w:fill="FFFFFF"/>
            <w:noWrap/>
            <w:vAlign w:val="center"/>
          </w:tcPr>
          <w:p w14:paraId="5B5FE7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低（50m/个）</w:t>
            </w:r>
          </w:p>
          <w:p w14:paraId="1E60CB9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中（25m/个）</w:t>
            </w:r>
          </w:p>
          <w:p w14:paraId="1EA07AF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高（10m/个）</w:t>
            </w:r>
          </w:p>
        </w:tc>
        <w:tc>
          <w:tcPr>
            <w:tcW w:w="5000" w:type="dxa"/>
            <w:tcBorders>
              <w:top w:val="single" w:color="000000" w:sz="4" w:space="0"/>
              <w:left w:val="nil"/>
              <w:bottom w:val="single" w:color="000000" w:sz="4" w:space="0"/>
              <w:right w:val="nil"/>
            </w:tcBorders>
            <w:shd w:val="clear" w:color="auto" w:fill="FFFFFF"/>
            <w:noWrap/>
            <w:vAlign w:val="center"/>
          </w:tcPr>
          <w:p w14:paraId="4E3A60C7">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基于认知负荷理论；低密度信息不足，高密度信息过载；标识清晰度、规范性影响信息获取。</w:t>
            </w:r>
          </w:p>
        </w:tc>
      </w:tr>
      <w:tr w14:paraId="48B52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12E0DB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tc>
        <w:tc>
          <w:tcPr>
            <w:tcW w:w="2225" w:type="dxa"/>
            <w:tcBorders>
              <w:top w:val="single" w:color="000000" w:sz="4" w:space="0"/>
              <w:left w:val="nil"/>
              <w:bottom w:val="single" w:color="000000" w:sz="4" w:space="0"/>
              <w:right w:val="nil"/>
            </w:tcBorders>
            <w:shd w:val="clear" w:color="auto" w:fill="FFFFFF"/>
            <w:noWrap/>
            <w:vAlign w:val="center"/>
          </w:tcPr>
          <w:p w14:paraId="29E33F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日间</w:t>
            </w:r>
          </w:p>
          <w:p w14:paraId="2B9DC5C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黄昏</w:t>
            </w:r>
          </w:p>
          <w:p w14:paraId="44D8CE3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w:t>
            </w:r>
          </w:p>
        </w:tc>
        <w:tc>
          <w:tcPr>
            <w:tcW w:w="5000" w:type="dxa"/>
            <w:tcBorders>
              <w:top w:val="single" w:color="000000" w:sz="4" w:space="0"/>
              <w:left w:val="nil"/>
              <w:bottom w:val="single" w:color="000000" w:sz="4" w:space="0"/>
              <w:right w:val="nil"/>
            </w:tcBorders>
            <w:shd w:val="clear" w:color="auto" w:fill="FFFFFF"/>
            <w:noWrap/>
            <w:vAlign w:val="center"/>
          </w:tcPr>
          <w:p w14:paraId="5F762AA2">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光照影响视距、对比度、识别能力；光环境调节风险判断。</w:t>
            </w:r>
          </w:p>
        </w:tc>
      </w:tr>
      <w:tr w14:paraId="2831A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2C008C6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tc>
        <w:tc>
          <w:tcPr>
            <w:tcW w:w="2225" w:type="dxa"/>
            <w:tcBorders>
              <w:top w:val="single" w:color="000000" w:sz="4" w:space="0"/>
              <w:left w:val="nil"/>
              <w:bottom w:val="single" w:color="000000" w:sz="4" w:space="0"/>
              <w:right w:val="nil"/>
            </w:tcBorders>
            <w:shd w:val="clear" w:color="auto" w:fill="FFFFFF"/>
            <w:noWrap/>
            <w:vAlign w:val="center"/>
          </w:tcPr>
          <w:p w14:paraId="717082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优质沥青</w:t>
            </w:r>
          </w:p>
          <w:p w14:paraId="51D0B5F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普通混凝土</w:t>
            </w:r>
          </w:p>
          <w:p w14:paraId="065489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老旧透水砖</w:t>
            </w:r>
          </w:p>
        </w:tc>
        <w:tc>
          <w:tcPr>
            <w:tcW w:w="5000" w:type="dxa"/>
            <w:tcBorders>
              <w:top w:val="single" w:color="000000" w:sz="4" w:space="0"/>
              <w:left w:val="nil"/>
              <w:bottom w:val="single" w:color="000000" w:sz="4" w:space="0"/>
              <w:right w:val="nil"/>
            </w:tcBorders>
            <w:shd w:val="clear" w:color="auto" w:fill="FFFFFF"/>
            <w:noWrap/>
            <w:vAlign w:val="center"/>
          </w:tcPr>
          <w:p w14:paraId="3823B96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路面材质影响舒适性、摩擦提示、破损状态；关联稳定性与跌倒风险。</w:t>
            </w:r>
          </w:p>
        </w:tc>
      </w:tr>
      <w:tr w14:paraId="7EA4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3CFBF9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分隔形式</w:t>
            </w:r>
          </w:p>
        </w:tc>
        <w:tc>
          <w:tcPr>
            <w:tcW w:w="2225" w:type="dxa"/>
            <w:tcBorders>
              <w:top w:val="single" w:color="000000" w:sz="4" w:space="0"/>
              <w:left w:val="nil"/>
              <w:bottom w:val="single" w:color="000000" w:sz="4" w:space="0"/>
              <w:right w:val="nil"/>
            </w:tcBorders>
            <w:shd w:val="clear" w:color="auto" w:fill="FFFFFF"/>
            <w:noWrap/>
            <w:vAlign w:val="center"/>
          </w:tcPr>
          <w:p w14:paraId="083A088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无分隔</w:t>
            </w:r>
          </w:p>
          <w:p w14:paraId="42B912A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标线分隔</w:t>
            </w:r>
          </w:p>
          <w:p w14:paraId="75CB458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物理分隔</w:t>
            </w:r>
          </w:p>
        </w:tc>
        <w:tc>
          <w:tcPr>
            <w:tcW w:w="5000" w:type="dxa"/>
            <w:tcBorders>
              <w:top w:val="single" w:color="000000" w:sz="4" w:space="0"/>
              <w:left w:val="nil"/>
              <w:bottom w:val="single" w:color="000000" w:sz="4" w:space="0"/>
              <w:right w:val="nil"/>
            </w:tcBorders>
            <w:shd w:val="clear" w:color="auto" w:fill="FFFFFF"/>
            <w:noWrap/>
            <w:vAlign w:val="center"/>
          </w:tcPr>
          <w:p w14:paraId="31BBFEC1">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路权界定清晰程度；与边界定义理论相关；影响主观安全感与行为预期。</w:t>
            </w:r>
          </w:p>
        </w:tc>
      </w:tr>
      <w:tr w14:paraId="3CBFC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589322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交通流量</w:t>
            </w:r>
          </w:p>
        </w:tc>
        <w:tc>
          <w:tcPr>
            <w:tcW w:w="2225" w:type="dxa"/>
            <w:tcBorders>
              <w:top w:val="single" w:color="000000" w:sz="4" w:space="0"/>
              <w:left w:val="nil"/>
              <w:bottom w:val="single" w:color="000000" w:sz="4" w:space="0"/>
              <w:right w:val="nil"/>
            </w:tcBorders>
            <w:shd w:val="clear" w:color="auto" w:fill="FFFFFF"/>
            <w:noWrap/>
            <w:vAlign w:val="center"/>
          </w:tcPr>
          <w:p w14:paraId="723F81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低峰（2-3人）</w:t>
            </w:r>
          </w:p>
          <w:p w14:paraId="3224D7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平峰（6-10人）</w:t>
            </w:r>
          </w:p>
          <w:p w14:paraId="59202FA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高峰（15-20人）</w:t>
            </w:r>
          </w:p>
        </w:tc>
        <w:tc>
          <w:tcPr>
            <w:tcW w:w="5000" w:type="dxa"/>
            <w:tcBorders>
              <w:top w:val="single" w:color="000000" w:sz="4" w:space="0"/>
              <w:left w:val="nil"/>
              <w:bottom w:val="single" w:color="000000" w:sz="4" w:space="0"/>
              <w:right w:val="nil"/>
            </w:tcBorders>
            <w:shd w:val="clear" w:color="auto" w:fill="FFFFFF"/>
            <w:noWrap/>
            <w:vAlign w:val="center"/>
          </w:tcPr>
          <w:p w14:paraId="50CF4F38">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动态交通负荷；流量变化影响复杂性、心理压力、决策时间。</w:t>
            </w:r>
          </w:p>
        </w:tc>
      </w:tr>
      <w:tr w14:paraId="06D27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3" w:type="dxa"/>
            <w:tcBorders>
              <w:top w:val="single" w:color="000000" w:sz="4" w:space="0"/>
              <w:left w:val="nil"/>
              <w:bottom w:val="single" w:color="000000" w:sz="4" w:space="0"/>
              <w:right w:val="nil"/>
            </w:tcBorders>
            <w:shd w:val="clear" w:color="auto" w:fill="FFFFFF"/>
            <w:noWrap/>
            <w:vAlign w:val="center"/>
          </w:tcPr>
          <w:p w14:paraId="096DC41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w:t>
            </w:r>
          </w:p>
          <w:p w14:paraId="6AC9FFF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复杂度</w:t>
            </w:r>
          </w:p>
        </w:tc>
        <w:tc>
          <w:tcPr>
            <w:tcW w:w="2225" w:type="dxa"/>
            <w:tcBorders>
              <w:top w:val="single" w:color="000000" w:sz="4" w:space="0"/>
              <w:left w:val="nil"/>
              <w:bottom w:val="single" w:color="000000" w:sz="4" w:space="0"/>
              <w:right w:val="nil"/>
            </w:tcBorders>
            <w:shd w:val="clear" w:color="auto" w:fill="FFFFFF"/>
            <w:noWrap/>
            <w:vAlign w:val="center"/>
          </w:tcPr>
          <w:p w14:paraId="1A814C3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简单</w:t>
            </w:r>
          </w:p>
          <w:p w14:paraId="10D6C96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中等</w:t>
            </w:r>
          </w:p>
          <w:p w14:paraId="1FA5017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复杂</w:t>
            </w:r>
          </w:p>
        </w:tc>
        <w:tc>
          <w:tcPr>
            <w:tcW w:w="5000" w:type="dxa"/>
            <w:tcBorders>
              <w:top w:val="single" w:color="000000" w:sz="4" w:space="0"/>
              <w:left w:val="nil"/>
              <w:bottom w:val="single" w:color="000000" w:sz="4" w:space="0"/>
              <w:right w:val="nil"/>
            </w:tcBorders>
            <w:shd w:val="clear" w:color="auto" w:fill="FFFFFF"/>
            <w:noWrap/>
            <w:vAlign w:val="center"/>
          </w:tcPr>
          <w:p w14:paraId="65CFC863">
            <w:pPr>
              <w:keepNext w:val="0"/>
              <w:keepLines w:val="0"/>
              <w:widowControl/>
              <w:suppressLineNumbers w:val="0"/>
              <w:jc w:val="left"/>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背景视觉信息量；复杂场景可能分散注意力；对应注意力资源分配理论。</w:t>
            </w:r>
          </w:p>
        </w:tc>
      </w:tr>
    </w:tbl>
    <w:p w14:paraId="0EDE490F">
      <w:pPr>
        <w:pStyle w:val="4"/>
        <w:numPr>
          <w:ilvl w:val="0"/>
          <w:numId w:val="0"/>
        </w:numPr>
        <w:ind w:firstLine="480" w:firstLineChars="200"/>
        <w:jc w:val="both"/>
        <w:rPr>
          <w:rFonts w:hint="eastAsia" w:ascii="宋体" w:hAnsi="宋体" w:eastAsia="宋体" w:cs="宋体"/>
          <w:sz w:val="24"/>
          <w:szCs w:val="24"/>
          <w:lang w:val="en-US" w:eastAsia="zh-CN"/>
        </w:rPr>
      </w:pPr>
    </w:p>
    <w:p w14:paraId="00E85CAE">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问卷设计与实施</w:t>
      </w:r>
    </w:p>
    <w:p w14:paraId="0B068489">
      <w:pPr>
        <w:pStyle w:val="4"/>
        <w:jc w:val="both"/>
        <w:rPr>
          <w:rFonts w:hint="default" w:ascii="Times New Roman" w:hAnsi="Times New Roman" w:cs="Times New Roman"/>
          <w:lang w:eastAsia="zh-CN"/>
        </w:rPr>
      </w:pPr>
      <w:r>
        <w:rPr>
          <w:rFonts w:hint="eastAsia" w:ascii="Times New Roman" w:hAnsi="Times New Roman" w:cs="Times New Roman"/>
          <w:lang w:val="en-US" w:eastAsia="zh-CN"/>
        </w:rPr>
        <w:t>本问卷调查采用在线自</w:t>
      </w:r>
      <w:r>
        <w:rPr>
          <w:rFonts w:hint="default" w:ascii="Times New Roman" w:hAnsi="Times New Roman" w:cs="Times New Roman"/>
          <w:lang w:val="en-US" w:eastAsia="zh-CN"/>
        </w:rPr>
        <w:t>主填答的形式，问卷借助问卷星平台进行部署，参与者利用个人设备于自选的时间和地点完成问卷填答。调查问卷涵盖三个部分：第一部分收集人口统计学信息与出行特征，具体包括性别、年龄、在校年限、主要出行方式（步行或骑行）、平均每周校园出行频次；第二部分为高校共享道路交通环境主观认知指标评价核心模块，每位参与者随机分配到10张场景图片，并被要求设想自己在该场景中通行，对感知到的安全程度进行评分；第三部分为开放式补充问题，询问影响安全判断的关键因素以及改进建议。</w:t>
      </w:r>
    </w:p>
    <w:p w14:paraId="53DCD916">
      <w:pPr>
        <w:pStyle w:val="4"/>
        <w:jc w:val="both"/>
        <w:rPr>
          <w:rFonts w:hint="default" w:ascii="Times New Roman" w:hAnsi="Times New Roman" w:cs="Times New Roman"/>
          <w:lang w:val="en-US" w:eastAsia="zh-CN"/>
        </w:rPr>
      </w:pPr>
      <w:r>
        <w:rPr>
          <w:rFonts w:hint="default" w:ascii="Times New Roman" w:hAnsi="Times New Roman" w:cs="Times New Roman"/>
          <w:lang w:val="en-US" w:eastAsia="zh-CN"/>
        </w:rPr>
        <w:t>安全感知评分采用4分制李克特量表（0=“不安全”，1=“比较不安全”，2=“比较安全”，3=“安全”）。此外，选择4点量表而非传统的5点或7点量表，是基于两方面考虑：一是避免选项导致的中心化倾向，迫使实验做出明确的“安全”或“不安全”的判断；二是简化认知难度，降低普通参与者的困惑感，提高问卷质量。这一量表设计曾应用于《Der Tagesspiegel》中一项针对机动车、自行车与行人的研究中得到验证，显示出良好的信度和效度。</w:t>
      </w:r>
    </w:p>
    <w:p w14:paraId="79EA9A6D">
      <w:pPr>
        <w:pStyle w:val="4"/>
        <w:jc w:val="both"/>
        <w:rPr>
          <w:rFonts w:hint="eastAsia" w:ascii="Times New Roman" w:hAnsi="Times New Roman" w:cs="Times New Roman"/>
          <w:lang w:val="en-US" w:eastAsia="zh-CN"/>
        </w:rPr>
      </w:pPr>
      <w:r>
        <w:rPr>
          <w:rFonts w:hint="default" w:ascii="Times New Roman" w:hAnsi="Times New Roman" w:cs="Times New Roman"/>
          <w:lang w:val="en-US" w:eastAsia="zh-CN"/>
        </w:rPr>
        <w:t>为确保场景呈现的一致性和真实性，所有AI生成图像经过三轮迭代优化。首先由研究团队的5名设计专家对初始生成的288张候选图像（每个场景3个版本）进行真实度和清晰度评估，采用7点量表评分。其次，选取评分最高的96张图像进入第二轮测试，邀请20名校园共享交通参与的行人及骑行者进行预试，评估图像的可理解性和场景辨识度。基于预试反馈，调整了部分场景的光照、视</w:t>
      </w:r>
      <w:r>
        <w:rPr>
          <w:rFonts w:hint="eastAsia" w:ascii="Times New Roman" w:hAnsi="Times New Roman" w:cs="Times New Roman"/>
          <w:lang w:val="en-US" w:eastAsia="zh-CN"/>
        </w:rPr>
        <w:t>角和细节元素，形成最终的实验刺激库。每张图像附带简短的情境描述文字，如“一条3.5米宽的校园道路，有标线分隔，中等密度的标识，黄昏时分，平峰交通流量”</w:t>
      </w:r>
    </w:p>
    <w:p w14:paraId="7A1DD71A">
      <w:pPr>
        <w:pStyle w:val="4"/>
        <w:jc w:val="both"/>
        <w:rPr>
          <w:rFonts w:hint="eastAsia" w:ascii="Times New Roman" w:hAnsi="Times New Roman" w:cs="Times New Roman"/>
          <w:lang w:val="en-US" w:eastAsia="zh-CN"/>
        </w:rPr>
      </w:pPr>
    </w:p>
    <w:p w14:paraId="516C447A">
      <w:pPr>
        <w:pStyle w:val="4"/>
        <w:numPr>
          <w:ilvl w:val="0"/>
          <w:numId w:val="2"/>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高校共享道路交通安全客观指标构建</w:t>
      </w:r>
    </w:p>
    <w:p>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eastAsia="宋体" w:cs="Times New Roman"/>
          <w:lang w:eastAsia="zh-CN"/>
        </w:rPr>
        <w:t xml:space="preserve">认知偏差的量化需要建立主观评价的对照基准，即客观安全指标。本研究采用前期研究关于提取的“面向行人与骑行者的校园共享道路交通环境特征要素”中确立的道路安全评估指标体系，基于五个核心维度构建综合客观安全指标。以上五个维度均为可客观测量的物理环境特征，一定程度上确保了研究的客观性。此外，本研究还基于德尔菲专家访谈法为高校共享道路交通安全客观指标，以确保评估的有效性和科学性。其中，邀请15名交通安全领域专家（包括5名交通工程教授、5名设计实践专家、5名管理部门人员）进行两轮评估确定。视距条件获得最高权重，因其对事故预防的关键作用；道路宽度和标识系统次之，体现空间资源和信息支持的重要性；照明和路面质量作为辅助性因素权重相对较低。此外，高校共享道路交通安全客观指标量程为0-3分，与主观评分量程一致，便于直接对比计算认知偏差系数。具体权重数值及其评分标准如表21所示。研究路段的OSI实地测量完成后，96个AI生成场景继承其对应路段的基准客观安全指数（OSI，Objective Safety Index）值，并根据场景特定的变量设置（如照明条件从日间变为夜间时，照明水平得分相应调整）进行微调，形成每个场景各自的客观安全指数。为此，本研究构建了基于OSI的加权求和计算数学公式，具体公式如式1所示：</w:t>
      </w:r>
    </w:p>
    <w:p w14:paraId="12B27EB3">
      <w:pPr>
        <w:pStyle w:val="4"/>
        <w:numPr>
          <w:ilvl w:val="0"/>
          <w:numId w:val="0"/>
        </w:numPr>
        <w:ind w:firstLine="480" w:firstLineChars="200"/>
        <w:jc w:val="both"/>
        <w:rPr>
          <w:rFonts w:hint="default" w:ascii="Times New Roman" w:hAnsi="Times New Roman" w:cs="Times New Roman"/>
          <w:lang w:val="en-US" w:eastAsia="zh-CN"/>
        </w:rPr>
      </w:pPr>
    </w:p>
    <w:p w14:paraId="132F7EBB">
      <w:pPr>
        <w:pStyle w:val="4"/>
        <w:numPr>
          <w:ilvl w:val="0"/>
          <w:numId w:val="0"/>
        </w:numPr>
        <w:ind w:firstLine="1200" w:firstLineChars="500"/>
        <w:jc w:val="center"/>
        <w:rPr>
          <w:rFonts w:hint="default" w:ascii="Times New Roman" w:hAnsi="Times New Roman" w:cs="Times New Roman"/>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OSI</m:t>
              </m:r>
              <m:r>
                <m:rPr>
                  <m:nor/>
                  <m:sty m:val="p"/>
                </m:rPr>
                <w:rPr>
                  <w:rFonts w:hint="default" w:ascii="Times New Roman" w:hAnsi="Times New Roman" w:eastAsia="宋体" w:cs="Times New Roman"/>
                  <w:b w:val="0"/>
                  <w:i w:val="0"/>
                  <w:color w:val="000000"/>
                  <w:sz w:val="24"/>
                  <w:szCs w:val="24"/>
                  <w:lang w:val="en-US" w:eastAsia="zh-CN"/>
                </w:rPr>
                <m:t>=0.20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1</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+0.30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2</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+0.25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3</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+0.15</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4</m:t>
                  </m:r>
                  <m:ctrlPr>
                    <w:rPr>
                      <w:rFonts w:hint="default" w:ascii="Cambria Math" w:hAnsi="Cambria Math" w:eastAsia="宋体" w:cs="Times New Roman"/>
                      <w:i/>
                      <w:color w:val="000000"/>
                      <w:sz w:val="24"/>
                      <w:szCs w:val="24"/>
                      <w:lang w:val="en-US" w:eastAsia="zh-CN"/>
                    </w:rPr>
                  </m:ctrlPr>
                </m:sub>
              </m:sSub>
              <m:r>
                <m:rPr>
                  <m:nor/>
                  <m:sty m:val="p"/>
                </m:rPr>
                <w:rPr>
                  <w:rFonts w:hint="default" w:ascii="Times New Roman" w:hAnsi="Times New Roman" w:eastAsia="宋体" w:cs="Times New Roman"/>
                  <w:b w:val="0"/>
                  <w:i w:val="0"/>
                  <w:color w:val="000000"/>
                  <w:sz w:val="24"/>
                  <w:szCs w:val="24"/>
                  <w:lang w:val="en-US" w:eastAsia="zh-CN"/>
                </w:rPr>
                <m:t>+0.10</m:t>
              </m:r>
              <m:sSub>
                <m:sSubPr>
                  <m:ctrlPr>
                    <w:rPr>
                      <w:rFonts w:hint="default" w:ascii="Cambria Math" w:hAnsi="Cambria Math" w:eastAsia="宋体" w:cs="Times New Roman"/>
                      <w:i/>
                      <w:color w:val="000000"/>
                      <w:sz w:val="24"/>
                      <w:szCs w:val="24"/>
                      <w:lang w:val="en-US" w:eastAsia="zh-CN"/>
                    </w:rPr>
                  </m:ctrlPr>
                </m:sSubPr>
                <m:e>
                  <m:r>
                    <m:rPr>
                      <m:nor/>
                    </m:rPr>
                    <w:rPr>
                      <w:rFonts w:hint="default" w:ascii="Times New Roman" w:hAnsi="Times New Roman" w:eastAsia="宋体" w:cs="Times New Roman"/>
                      <w:i/>
                      <w:color w:val="000000"/>
                      <w:sz w:val="24"/>
                      <w:szCs w:val="24"/>
                      <w:lang w:val="en-US" w:eastAsia="zh-CN"/>
                    </w:rPr>
                    <m:t>S</m:t>
                  </m:r>
                  <m:ctrlPr>
                    <w:rPr>
                      <w:rFonts w:hint="default" w:ascii="Cambria Math" w:hAnsi="Cambria Math" w:eastAsia="宋体" w:cs="Times New Roman"/>
                      <w:i/>
                      <w:color w:val="000000"/>
                      <w:sz w:val="24"/>
                      <w:szCs w:val="24"/>
                      <w:lang w:val="en-US" w:eastAsia="zh-CN"/>
                    </w:rPr>
                  </m:ctrlPr>
                </m:e>
                <m:sub>
                  <m:r>
                    <m:rPr>
                      <m:nor/>
                      <m:sty m:val="p"/>
                    </m:rPr>
                    <w:rPr>
                      <w:rFonts w:hint="default" w:ascii="Times New Roman" w:hAnsi="Times New Roman" w:cs="Times New Roman"/>
                      <w:b w:val="0"/>
                      <w:i w:val="0"/>
                      <w:color w:val="000000"/>
                      <w:sz w:val="24"/>
                      <w:szCs w:val="24"/>
                      <w:lang w:val="en-US" w:eastAsia="zh-CN"/>
                    </w:rPr>
                    <m:t>5</m:t>
                  </m:r>
                  <m:ctrlPr>
                    <w:rPr>
                      <w:rFonts w:hint="default" w:ascii="Cambria Math" w:hAnsi="Cambria Math" w:eastAsia="宋体" w:cs="Times New Roman"/>
                      <w:i/>
                      <w:color w:val="000000"/>
                      <w:sz w:val="24"/>
                      <w:szCs w:val="24"/>
                      <w:lang w:val="en-US" w:eastAsia="zh-CN"/>
                    </w:rPr>
                  </m:ctrlPr>
                </m:sub>
              </m:sSub>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式1</w:t>
      </w:r>
    </w:p>
    <w:p w14:paraId="393C80D2">
      <w:pPr>
        <w:pStyle w:val="4"/>
        <w:numPr>
          <w:ilvl w:val="0"/>
          <w:numId w:val="0"/>
        </w:numPr>
        <w:ind w:firstLine="482" w:firstLineChars="200"/>
        <w:jc w:val="both"/>
        <w:rPr>
          <w:rFonts w:hint="eastAsia" w:ascii="Times New Roman" w:hAnsi="Times New Roman" w:cs="Times New Roman"/>
          <w:b/>
          <w:bCs/>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表21 高校共享道路交通安全客观指标表</w:t>
      </w:r>
    </w:p>
    <w:tbl>
      <w:tblPr>
        <w:tblStyle w:val="8"/>
        <w:tblW w:w="8318" w:type="dxa"/>
        <w:jc w:val="center"/>
        <w:tblLayout w:type="fixed"/>
        <w:tblCellMar>
          <w:top w:w="0" w:type="dxa"/>
          <w:left w:w="0" w:type="dxa"/>
          <w:bottom w:w="0" w:type="dxa"/>
          <w:right w:w="0" w:type="dxa"/>
        </w:tblCellMar>
      </w:tblPr>
      <w:tblGrid>
        <w:gridCol w:w="1058"/>
        <w:gridCol w:w="736"/>
        <w:gridCol w:w="1714"/>
        <w:gridCol w:w="4810"/>
      </w:tblGrid>
      <w:tr w14:paraId="0D2322C4">
        <w:tblPrEx>
          <w:tblCellMar>
            <w:top w:w="0" w:type="dxa"/>
            <w:left w:w="0" w:type="dxa"/>
            <w:bottom w:w="0" w:type="dxa"/>
            <w:right w:w="0" w:type="dxa"/>
          </w:tblCellMar>
        </w:tblPrEx>
        <w:trPr>
          <w:trHeight w:val="122" w:hRule="atLeast"/>
          <w:jc w:val="center"/>
        </w:trPr>
        <w:tc>
          <w:tcPr>
            <w:tcW w:w="1058" w:type="dxa"/>
            <w:tcBorders>
              <w:top w:val="single" w:color="000000" w:sz="4" w:space="0"/>
              <w:left w:val="nil"/>
              <w:bottom w:val="single" w:color="000000" w:sz="12" w:space="0"/>
              <w:right w:val="nil"/>
            </w:tcBorders>
            <w:shd w:val="clear" w:color="auto" w:fill="FFFFFF"/>
            <w:vAlign w:val="center"/>
          </w:tcPr>
          <w:p w14:paraId="106CA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安全指标</w:t>
            </w:r>
          </w:p>
        </w:tc>
        <w:tc>
          <w:tcPr>
            <w:tcW w:w="736" w:type="dxa"/>
            <w:tcBorders>
              <w:top w:val="single" w:color="000000" w:sz="4" w:space="0"/>
              <w:left w:val="nil"/>
              <w:bottom w:val="single" w:color="000000" w:sz="12" w:space="0"/>
              <w:right w:val="nil"/>
            </w:tcBorders>
            <w:shd w:val="clear" w:color="auto" w:fill="FFFFFF"/>
            <w:vAlign w:val="center"/>
          </w:tcPr>
          <w:p w14:paraId="3E4B4C8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权重</w:t>
            </w:r>
          </w:p>
        </w:tc>
        <w:tc>
          <w:tcPr>
            <w:tcW w:w="1714" w:type="dxa"/>
            <w:tcBorders>
              <w:top w:val="single" w:color="000000" w:sz="4" w:space="0"/>
              <w:left w:val="nil"/>
              <w:bottom w:val="single" w:color="000000" w:sz="12" w:space="0"/>
              <w:right w:val="nil"/>
            </w:tcBorders>
            <w:shd w:val="clear" w:color="auto" w:fill="FFFFFF"/>
            <w:vAlign w:val="center"/>
          </w:tcPr>
          <w:p w14:paraId="7A07CDF1">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评估内容</w:t>
            </w:r>
          </w:p>
        </w:tc>
        <w:tc>
          <w:tcPr>
            <w:tcW w:w="4810" w:type="dxa"/>
            <w:tcBorders>
              <w:top w:val="single" w:color="000000" w:sz="4" w:space="0"/>
              <w:left w:val="nil"/>
              <w:bottom w:val="single" w:color="000000" w:sz="12" w:space="0"/>
              <w:right w:val="nil"/>
            </w:tcBorders>
            <w:shd w:val="clear" w:color="auto" w:fill="FFFFFF"/>
            <w:vAlign w:val="center"/>
          </w:tcPr>
          <w:p w14:paraId="4C066EB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评分标准</w:t>
            </w:r>
          </w:p>
        </w:tc>
      </w:tr>
      <w:tr w14:paraId="7D37F527">
        <w:tblPrEx>
          <w:tblCellMar>
            <w:top w:w="0" w:type="dxa"/>
            <w:left w:w="0" w:type="dxa"/>
            <w:bottom w:w="0" w:type="dxa"/>
            <w:right w:w="0" w:type="dxa"/>
          </w:tblCellMar>
        </w:tblPrEx>
        <w:trPr>
          <w:trHeight w:val="0" w:hRule="atLeast"/>
          <w:jc w:val="center"/>
        </w:trPr>
        <w:tc>
          <w:tcPr>
            <w:tcW w:w="1058" w:type="dxa"/>
            <w:tcBorders>
              <w:top w:val="single" w:color="000000" w:sz="12" w:space="0"/>
              <w:left w:val="nil"/>
              <w:bottom w:val="single" w:color="000000" w:sz="4" w:space="0"/>
              <w:right w:val="nil"/>
            </w:tcBorders>
            <w:shd w:val="clear" w:color="auto" w:fill="FFFFFF"/>
            <w:vAlign w:val="center"/>
          </w:tcPr>
          <w:p w14:paraId="554EF9B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道路宽度</w:t>
            </w:r>
          </w:p>
          <w:p w14:paraId="223EA8E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1</w:t>
            </w:r>
          </w:p>
        </w:tc>
        <w:tc>
          <w:tcPr>
            <w:tcW w:w="736" w:type="dxa"/>
            <w:tcBorders>
              <w:top w:val="single" w:color="000000" w:sz="12" w:space="0"/>
              <w:left w:val="nil"/>
              <w:bottom w:val="single" w:color="000000" w:sz="4" w:space="0"/>
              <w:right w:val="nil"/>
            </w:tcBorders>
            <w:shd w:val="clear" w:color="auto" w:fill="FFFFFF"/>
            <w:vAlign w:val="center"/>
          </w:tcPr>
          <w:p w14:paraId="069CC22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0.20</w:t>
            </w:r>
          </w:p>
        </w:tc>
        <w:tc>
          <w:tcPr>
            <w:tcW w:w="1714" w:type="dxa"/>
            <w:tcBorders>
              <w:top w:val="single" w:color="000000" w:sz="12" w:space="0"/>
              <w:left w:val="nil"/>
              <w:bottom w:val="single" w:color="000000" w:sz="4" w:space="0"/>
              <w:right w:val="nil"/>
            </w:tcBorders>
            <w:shd w:val="clear" w:color="auto" w:fill="FFFFFF"/>
            <w:vAlign w:val="center"/>
          </w:tcPr>
          <w:p w14:paraId="6F216846">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有效通行宽度</w:t>
            </w:r>
          </w:p>
        </w:tc>
        <w:tc>
          <w:tcPr>
            <w:tcW w:w="4810" w:type="dxa"/>
            <w:tcBorders>
              <w:top w:val="single" w:color="000000" w:sz="12" w:space="0"/>
              <w:left w:val="nil"/>
              <w:bottom w:val="single" w:color="000000" w:sz="4" w:space="0"/>
              <w:right w:val="nil"/>
            </w:tcBorders>
            <w:shd w:val="clear" w:color="auto" w:fill="FFFFFF"/>
            <w:vAlign w:val="center"/>
          </w:tcPr>
          <w:p w14:paraId="5988D173">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≥4.0m：3分</w:t>
              <w:br w:type="textWrapping"/>
              <w:t>3.0m≤宽度&lt;4.0m：2分</w:t>
              <w:br w:type="textWrapping"/>
              <w:t>2.5m≤宽度&lt;3.0m：1分</w:t>
              <w:br w:type="textWrapping"/>
              <w:t>宽度&lt;2.5m：0分</w:t>
            </w:r>
          </w:p>
        </w:tc>
      </w:tr>
      <w:tr w14:paraId="4A9D1A57">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2926FE0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视距条件</w:t>
            </w:r>
          </w:p>
          <w:p w14:paraId="02A1CF5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2</w:t>
            </w:r>
          </w:p>
        </w:tc>
        <w:tc>
          <w:tcPr>
            <w:tcW w:w="736" w:type="dxa"/>
            <w:tcBorders>
              <w:top w:val="single" w:color="000000" w:sz="4" w:space="0"/>
              <w:left w:val="nil"/>
              <w:bottom w:val="single" w:color="000000" w:sz="4" w:space="0"/>
              <w:right w:val="nil"/>
            </w:tcBorders>
            <w:shd w:val="clear" w:color="auto" w:fill="FFFFFF"/>
            <w:vAlign w:val="center"/>
          </w:tcPr>
          <w:p w14:paraId="372FEB6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0.30</w:t>
            </w:r>
          </w:p>
        </w:tc>
        <w:tc>
          <w:tcPr>
            <w:tcW w:w="1714" w:type="dxa"/>
            <w:tcBorders>
              <w:top w:val="single" w:color="000000" w:sz="4" w:space="0"/>
              <w:left w:val="nil"/>
              <w:bottom w:val="single" w:color="000000" w:sz="4" w:space="0"/>
              <w:right w:val="nil"/>
            </w:tcBorders>
            <w:shd w:val="clear" w:color="auto" w:fill="FFFFFF"/>
            <w:vAlign w:val="center"/>
          </w:tcPr>
          <w:p w14:paraId="3AB6107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无遮挡视距长度</w:t>
            </w:r>
          </w:p>
        </w:tc>
        <w:tc>
          <w:tcPr>
            <w:tcW w:w="4810" w:type="dxa"/>
            <w:tcBorders>
              <w:top w:val="single" w:color="000000" w:sz="4" w:space="0"/>
              <w:left w:val="nil"/>
              <w:bottom w:val="single" w:color="000000" w:sz="4" w:space="0"/>
              <w:right w:val="nil"/>
            </w:tcBorders>
            <w:shd w:val="clear" w:color="auto" w:fill="FFFFFF"/>
            <w:vAlign w:val="center"/>
          </w:tcPr>
          <w:p w14:paraId="252885B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≥25m：3分</w:t>
              <w:br w:type="textWrapping"/>
              <w:t>15m≤视距&lt;25m：2分</w:t>
              <w:br w:type="textWrapping"/>
              <w:t>8m≤视距&lt;15m：1分</w:t>
              <w:br w:type="textWrapping"/>
              <w:t>视距&lt;8m：0分</w:t>
            </w:r>
          </w:p>
        </w:tc>
      </w:tr>
      <w:tr w14:paraId="373B51BE">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6806AB">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标识系统</w:t>
            </w:r>
          </w:p>
          <w:p w14:paraId="04954E0A">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3</w:t>
            </w:r>
          </w:p>
        </w:tc>
        <w:tc>
          <w:tcPr>
            <w:tcW w:w="736" w:type="dxa"/>
            <w:tcBorders>
              <w:top w:val="single" w:color="000000" w:sz="4" w:space="0"/>
              <w:left w:val="nil"/>
              <w:bottom w:val="single" w:color="000000" w:sz="4" w:space="0"/>
              <w:right w:val="nil"/>
            </w:tcBorders>
            <w:shd w:val="clear" w:color="auto" w:fill="FFFFFF"/>
            <w:vAlign w:val="center"/>
          </w:tcPr>
          <w:p w14:paraId="2C54BE4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0.25</w:t>
            </w:r>
          </w:p>
        </w:tc>
        <w:tc>
          <w:tcPr>
            <w:tcW w:w="1714" w:type="dxa"/>
            <w:tcBorders>
              <w:top w:val="single" w:color="000000" w:sz="4" w:space="0"/>
              <w:left w:val="nil"/>
              <w:bottom w:val="single" w:color="000000" w:sz="4" w:space="0"/>
              <w:right w:val="nil"/>
            </w:tcBorders>
            <w:shd w:val="clear" w:color="auto" w:fill="FFFFFF"/>
            <w:vAlign w:val="center"/>
          </w:tcPr>
          <w:p w14:paraId="1885E24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标识数量、位置、内容清晰度</w:t>
            </w:r>
          </w:p>
        </w:tc>
        <w:tc>
          <w:tcPr>
            <w:tcW w:w="4810" w:type="dxa"/>
            <w:tcBorders>
              <w:top w:val="single" w:color="000000" w:sz="4" w:space="0"/>
              <w:left w:val="nil"/>
              <w:bottom w:val="single" w:color="000000" w:sz="4" w:space="0"/>
              <w:right w:val="nil"/>
            </w:tcBorders>
            <w:shd w:val="clear" w:color="auto" w:fill="FFFFFF"/>
            <w:vAlign w:val="center"/>
          </w:tcPr>
          <w:p w14:paraId="179DEB4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90-100分：3分</w:t>
              <w:br w:type="textWrapping"/>
              <w:t>70-89分：2分</w:t>
              <w:br w:type="textWrapping"/>
              <w:t>50-69分：1分</w:t>
              <w:br w:type="textWrapping"/>
              <w:t>&lt;50分：0分</w:t>
            </w:r>
          </w:p>
        </w:tc>
      </w:tr>
      <w:tr w14:paraId="06621270">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6A62B68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照明水平</w:t>
            </w:r>
          </w:p>
          <w:p w14:paraId="07A9B7CF">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4</w:t>
            </w:r>
          </w:p>
        </w:tc>
        <w:tc>
          <w:tcPr>
            <w:tcW w:w="736" w:type="dxa"/>
            <w:tcBorders>
              <w:top w:val="single" w:color="000000" w:sz="4" w:space="0"/>
              <w:left w:val="nil"/>
              <w:bottom w:val="single" w:color="000000" w:sz="4" w:space="0"/>
              <w:right w:val="nil"/>
            </w:tcBorders>
            <w:shd w:val="clear" w:color="auto" w:fill="FFFFFF"/>
            <w:vAlign w:val="center"/>
          </w:tcPr>
          <w:p w14:paraId="43A83175">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1714" w:type="dxa"/>
            <w:tcBorders>
              <w:top w:val="single" w:color="000000" w:sz="4" w:space="0"/>
              <w:left w:val="nil"/>
              <w:bottom w:val="single" w:color="000000" w:sz="4" w:space="0"/>
              <w:right w:val="nil"/>
            </w:tcBorders>
            <w:shd w:val="clear" w:color="auto" w:fill="FFFFFF"/>
            <w:vAlign w:val="center"/>
          </w:tcPr>
          <w:p w14:paraId="79610D2D">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路面平均照度</w:t>
            </w:r>
          </w:p>
        </w:tc>
        <w:tc>
          <w:tcPr>
            <w:tcW w:w="4810" w:type="dxa"/>
            <w:tcBorders>
              <w:top w:val="single" w:color="000000" w:sz="4" w:space="0"/>
              <w:left w:val="nil"/>
              <w:bottom w:val="single" w:color="000000" w:sz="4" w:space="0"/>
              <w:right w:val="nil"/>
            </w:tcBorders>
            <w:shd w:val="clear" w:color="auto" w:fill="FFFFFF"/>
            <w:vAlign w:val="center"/>
          </w:tcPr>
          <w:p w14:paraId="1533CE37">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≥50lux：3分</w:t>
              <w:br w:type="textWrapping"/>
              <w:t>30lux≤照度&lt;50lux：2分</w:t>
              <w:br w:type="textWrapping"/>
              <w:t>15lux≤照度&lt;30lux：1分</w:t>
              <w:br w:type="textWrapping"/>
              <w:t>照度&lt;15lux：0分</w:t>
            </w:r>
          </w:p>
        </w:tc>
      </w:tr>
      <w:tr w14:paraId="17A19502">
        <w:tblPrEx>
          <w:tblCellMar>
            <w:top w:w="0" w:type="dxa"/>
            <w:left w:w="0" w:type="dxa"/>
            <w:bottom w:w="0" w:type="dxa"/>
            <w:right w:w="0" w:type="dxa"/>
          </w:tblCellMar>
        </w:tblPrEx>
        <w:trPr>
          <w:trHeight w:val="0" w:hRule="atLeast"/>
          <w:jc w:val="center"/>
        </w:trPr>
        <w:tc>
          <w:tcPr>
            <w:tcW w:w="1058" w:type="dxa"/>
            <w:tcBorders>
              <w:top w:val="single" w:color="000000" w:sz="4" w:space="0"/>
              <w:left w:val="nil"/>
              <w:bottom w:val="single" w:color="000000" w:sz="4" w:space="0"/>
              <w:right w:val="nil"/>
            </w:tcBorders>
            <w:shd w:val="clear" w:color="auto" w:fill="FFFFFF"/>
            <w:vAlign w:val="center"/>
          </w:tcPr>
          <w:p w14:paraId="56004DBE">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路面质量</w:t>
            </w:r>
          </w:p>
          <w:p w14:paraId="2D9C049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S</w:t>
            </w:r>
            <w:r>
              <w:rPr>
                <w:rFonts w:hint="eastAsia" w:ascii="Times New Roman" w:hAnsi="Times New Roman" w:eastAsia="宋体" w:cs="Times New Roman"/>
                <w:b w:val="0"/>
                <w:color w:val="000000"/>
                <w:kern w:val="0"/>
                <w:sz w:val="24"/>
                <w:szCs w:val="24"/>
                <w:vertAlign w:val="subscript"/>
                <w:lang w:val="en-US" w:eastAsia="zh-CN" w:bidi="ar"/>
              </w:rPr>
              <w:t>5</w:t>
            </w:r>
          </w:p>
        </w:tc>
        <w:tc>
          <w:tcPr>
            <w:tcW w:w="736" w:type="dxa"/>
            <w:tcBorders>
              <w:top w:val="single" w:color="000000" w:sz="4" w:space="0"/>
              <w:left w:val="nil"/>
              <w:bottom w:val="single" w:color="000000" w:sz="4" w:space="0"/>
              <w:right w:val="nil"/>
            </w:tcBorders>
            <w:shd w:val="clear" w:color="auto" w:fill="FFFFFF"/>
            <w:vAlign w:val="center"/>
          </w:tcPr>
          <w:p w14:paraId="1AF92332">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0.10</w:t>
            </w:r>
          </w:p>
        </w:tc>
        <w:tc>
          <w:tcPr>
            <w:tcW w:w="1714" w:type="dxa"/>
            <w:tcBorders>
              <w:top w:val="single" w:color="000000" w:sz="4" w:space="0"/>
              <w:left w:val="nil"/>
              <w:bottom w:val="single" w:color="000000" w:sz="4" w:space="0"/>
              <w:right w:val="nil"/>
            </w:tcBorders>
            <w:shd w:val="clear" w:color="auto" w:fill="FFFFFF"/>
            <w:vAlign w:val="center"/>
          </w:tcPr>
          <w:p w14:paraId="24C2B350">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平整度、防滑性、破损率</w:t>
            </w:r>
          </w:p>
        </w:tc>
        <w:tc>
          <w:tcPr>
            <w:tcW w:w="4810" w:type="dxa"/>
            <w:tcBorders>
              <w:top w:val="single" w:color="000000" w:sz="4" w:space="0"/>
              <w:left w:val="nil"/>
              <w:bottom w:val="single" w:color="000000" w:sz="4" w:space="0"/>
              <w:right w:val="nil"/>
            </w:tcBorders>
            <w:shd w:val="clear" w:color="auto" w:fill="FFFFFF"/>
            <w:vAlign w:val="center"/>
          </w:tcPr>
          <w:p w14:paraId="0C8AD918">
            <w:pPr>
              <w:keepNext w:val="0"/>
              <w:keepLines w:val="0"/>
              <w:pageBreakBefore w:val="0"/>
              <w:widowControl/>
              <w:suppressLineNumbers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平整无破损，防滑系数≥0.5:3</w:t>
              <w:br w:type="textWrapping"/>
              <w:t>基本平整，轻微破损，防滑系数0.4-0.5:2</w:t>
              <w:br w:type="textWrapping"/>
              <w:t>不平整或明显破损，防滑系数0.3-0.4:1</w:t>
              <w:br w:type="textWrapping"/>
              <w:t>严重破损或防滑系数&lt;0.3:0</w:t>
            </w:r>
          </w:p>
        </w:tc>
      </w:tr>
    </w:tbl>
    <w:p w14:paraId="443FB0EB">
      <w:pPr>
        <w:pStyle w:val="4"/>
        <w:numPr>
          <w:ilvl w:val="0"/>
          <w:numId w:val="0"/>
        </w:numPr>
        <w:ind w:firstLine="480" w:firstLineChars="200"/>
        <w:jc w:val="both"/>
        <w:rPr>
          <w:rFonts w:hint="eastAsia" w:ascii="Times New Roman" w:hAnsi="Times New Roman" w:cs="Times New Roman"/>
          <w:lang w:val="en-US" w:eastAsia="zh-CN"/>
        </w:rPr>
      </w:pPr>
    </w:p>
    <w:p w14:paraId="1AC9ECE8">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此外，在获得高校共享道路</w:t>
      </w:r>
      <w:r>
        <w:rPr>
          <w:rFonts w:hint="eastAsia" w:ascii="Times New Roman" w:hAnsi="Times New Roman" w:eastAsia="宋体" w:cs="Times New Roman"/>
          <w:lang w:val="en-US" w:eastAsia="zh-CN"/>
        </w:rPr>
        <w:t>交通</w:t>
      </w:r>
      <w:r>
        <w:rPr>
          <w:rFonts w:hint="eastAsia" w:ascii="Times New Roman" w:hAnsi="Times New Roman" w:cs="Times New Roman"/>
          <w:lang w:val="en-US" w:eastAsia="zh-CN"/>
        </w:rPr>
        <w:t>环境主观认知指标主观评分（S_subjective）和高校共享道路交通安全客观指标数据（S_objective）后，计算认知偏差系数（Cognitive Bias Coefficient，CBC）。该系数反映主观认知相对于客观基准的偏离程度（如式2所示）：</w:t>
      </w:r>
    </w:p>
    <w:p w14:paraId="37CB6241">
      <w:pPr>
        <w:pStyle w:val="4"/>
        <w:numPr>
          <w:ilvl w:val="0"/>
          <w:numId w:val="0"/>
        </w:numPr>
        <w:ind w:firstLine="480" w:firstLineChars="200"/>
        <w:jc w:val="both"/>
        <w:rPr>
          <w:rFonts w:hint="eastAsia" w:ascii="Times New Roman" w:hAnsi="Times New Roman" w:cs="Times New Roman"/>
          <w:lang w:val="en-US" w:eastAsia="zh-CN"/>
        </w:rPr>
      </w:pPr>
    </w:p>
    <w:p w14:paraId="784A31C6">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m:oMath>
        <m:m>
          <m:mPr>
            <m:mcs>
              <m:mc>
                <m:mcPr>
                  <m:count m:val="1"/>
                  <m:mcJc m:val="left"/>
                </m:mcPr>
              </m:mc>
            </m:mcs>
            <m:ctrlPr>
              <w:rPr>
                <w:rFonts w:hint="default" w:ascii="Cambria Math" w:hAnsi="Cambria Math" w:eastAsia="宋体" w:cs="Times New Roman"/>
                <w:i/>
                <w:color w:val="000000"/>
                <w:sz w:val="24"/>
                <w:szCs w:val="24"/>
                <w:lang w:val="en-US" w:eastAsia="zh-CN"/>
              </w:rPr>
            </m:ctrlPr>
          </m:mPr>
          <m:mr>
            <m:e>
              <m:r>
                <m:rPr>
                  <m:nor/>
                </m:rPr>
                <w:rPr>
                  <w:rFonts w:hint="default" w:ascii="Times New Roman" w:hAnsi="Times New Roman" w:eastAsia="宋体" w:cs="Times New Roman"/>
                  <w:i/>
                  <w:color w:val="000000"/>
                  <w:sz w:val="24"/>
                  <w:szCs w:val="24"/>
                  <w:lang w:val="en-US" w:eastAsia="zh-CN"/>
                </w:rPr>
                <m:t>CBC</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subjective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m:t>
              </m:r>
              <m:r>
                <m:rPr>
                  <m:nor/>
                </m:rPr>
                <w:rPr>
                  <w:rFonts w:hint="default" w:ascii="Times New Roman" w:hAnsi="Times New Roman" w:eastAsia="宋体" w:cs="Times New Roman"/>
                  <w:i/>
                  <w:color w:val="000000"/>
                  <w:sz w:val="24"/>
                  <w:szCs w:val="24"/>
                  <w:lang w:val="en-US" w:eastAsia="zh-CN"/>
                </w:rPr>
                <m:t>S</m:t>
              </m:r>
              <m:r>
                <m:rPr>
                  <m:nor/>
                  <m:sty m:val="p"/>
                </m:rPr>
                <w:rPr>
                  <w:rFonts w:hint="default" w:ascii="Times New Roman" w:hAnsi="Times New Roman" w:eastAsia="宋体" w:cs="Times New Roman"/>
                  <w:b w:val="0"/>
                  <w:i w:val="0"/>
                  <w:color w:val="000000"/>
                  <w:sz w:val="24"/>
                  <w:szCs w:val="24"/>
                  <w:lang w:val="en-US" w:eastAsia="zh-CN"/>
                </w:rPr>
                <m:t>_</m:t>
              </m:r>
              <m:r>
                <m:rPr>
                  <m:nor/>
                </m:rPr>
                <w:rPr>
                  <w:rFonts w:hint="default" w:ascii="Times New Roman" w:hAnsi="Times New Roman" w:eastAsia="宋体" w:cs="Times New Roman"/>
                  <w:i/>
                  <w:color w:val="000000"/>
                  <w:sz w:val="24"/>
                  <w:szCs w:val="24"/>
                  <w:lang w:val="en-US" w:eastAsia="zh-CN"/>
                </w:rPr>
                <m:t>objective</m:t>
              </m:r>
              <m:r>
                <m:rPr>
                  <m:nor/>
                  <m:sty m:val="p"/>
                </m:rPr>
                <w:rPr>
                  <w:rFonts w:hint="default" w:ascii="Times New Roman" w:hAnsi="Times New Roman" w:eastAsia="宋体" w:cs="Times New Roman"/>
                  <w:b w:val="0"/>
                  <w:i w:val="0"/>
                  <w:color w:val="000000"/>
                  <w:sz w:val="24"/>
                  <w:szCs w:val="24"/>
                  <w:lang w:val="en-US" w:eastAsia="zh-CN"/>
                </w:rPr>
                <m:t>×100%</m:t>
              </m:r>
              <m:ctrlPr>
                <w:rPr>
                  <w:rFonts w:hint="default" w:ascii="Cambria Math" w:hAnsi="Cambria Math" w:eastAsia="宋体" w:cs="Times New Roman"/>
                  <w:i/>
                  <w:color w:val="000000"/>
                  <w:sz w:val="24"/>
                  <w:szCs w:val="24"/>
                  <w:lang w:val="en-US" w:eastAsia="zh-CN"/>
                </w:rPr>
              </m:ctrlPr>
            </m:e>
          </m:mr>
        </m:m>
      </m:oMath>
      <w:r>
        <w:rPr>
          <w:rFonts w:hint="eastAsia" w:hAnsi="Cambria Math" w:cs="Times New Roman"/>
          <w:i w:val="0"/>
          <w:color w:val="000000"/>
          <w:sz w:val="24"/>
          <w:szCs w:val="24"/>
          <w:lang w:val="en-US" w:eastAsia="zh-CN"/>
        </w:rPr>
        <w:t xml:space="preserve">             </w:t>
      </w:r>
      <w:r>
        <w:rPr>
          <w:rFonts w:hint="default" w:ascii="Times New Roman" w:hAnsi="Times New Roman" w:cs="Times New Roman"/>
          <w:i w:val="0"/>
          <w:color w:val="000000"/>
          <w:sz w:val="24"/>
          <w:szCs w:val="24"/>
          <w:lang w:val="en-US" w:eastAsia="zh-CN"/>
        </w:rPr>
        <w:t>式2</w:t>
      </w:r>
    </w:p>
    <w:p w14:paraId="47BCFB3C">
      <w:pPr>
        <w:pStyle w:val="4"/>
        <w:numPr>
          <w:ilvl w:val="0"/>
          <w:numId w:val="0"/>
        </w:numPr>
        <w:ind w:firstLine="480" w:firstLineChars="200"/>
        <w:jc w:val="right"/>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 xml:space="preserve">正值表示正偏差（高估安全性，风险低估），负值表示负偏差（低估安全性，过度谨慎）。根据文献综述和预试结果，本研究设定±20%为显著偏差阈值（如表22所示）。</w:t>
      </w:r>
    </w:p>
    <w:p w14:paraId="468DD5E6">
      <w:pPr>
        <w:pStyle w:val="4"/>
        <w:numPr>
          <w:ilvl w:val="0"/>
          <w:numId w:val="0"/>
        </w:numPr>
        <w:ind w:firstLine="480" w:firstLineChars="200"/>
        <w:jc w:val="both"/>
        <w:rPr>
          <w:rFonts w:hint="eastAsia" w:ascii="Times New Roman" w:hAnsi="Times New Roman" w:cs="Times New Roman"/>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 xml:space="preserve">表22  CBC认知偏差系数表</w:t>
      </w:r>
    </w:p>
    <w:tbl>
      <w:tblPr>
        <w:tblStyle w:val="8"/>
        <w:tblW w:w="5000" w:type="pct"/>
        <w:jc w:val="center"/>
        <w:tblLayout w:type="autofit"/>
        <w:tblCellMar>
          <w:top w:w="0" w:type="dxa"/>
          <w:left w:w="0" w:type="dxa"/>
          <w:bottom w:w="0" w:type="dxa"/>
          <w:right w:w="0" w:type="dxa"/>
        </w:tblCellMar>
      </w:tblPr>
      <w:tblGrid>
        <w:gridCol w:w="2658"/>
        <w:gridCol w:w="1993"/>
        <w:gridCol w:w="3655"/>
      </w:tblGrid>
      <w:tr w14:paraId="7FC5C9BC">
        <w:tblPrEx>
          <w:tblCellMar>
            <w:top w:w="0" w:type="dxa"/>
            <w:left w:w="0" w:type="dxa"/>
            <w:bottom w:w="0" w:type="dxa"/>
            <w:right w:w="0" w:type="dxa"/>
          </w:tblCellMar>
        </w:tblPrEx>
        <w:trPr>
          <w:trHeight w:val="90" w:hRule="atLeast"/>
          <w:jc w:val="center"/>
        </w:trPr>
        <w:tc>
          <w:tcPr>
            <w:tcW w:w="0" w:type="auto"/>
            <w:tcBorders>
              <w:top w:val="single" w:color="000000" w:sz="4" w:space="0"/>
              <w:left w:val="nil"/>
              <w:bottom w:val="single" w:color="000000" w:sz="12" w:space="0"/>
              <w:right w:val="nil"/>
            </w:tcBorders>
            <w:shd w:val="clear" w:color="auto" w:fill="FFFFFF"/>
            <w:vAlign w:val="center"/>
          </w:tcPr>
          <w:p w14:paraId="7544006E">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CBC偏差范围</w:t>
            </w:r>
          </w:p>
        </w:tc>
        <w:tc>
          <w:tcPr>
            <w:tcW w:w="0" w:type="auto"/>
            <w:tcBorders>
              <w:top w:val="single" w:color="000000" w:sz="4" w:space="0"/>
              <w:left w:val="nil"/>
              <w:bottom w:val="single" w:color="000000" w:sz="12" w:space="0"/>
              <w:right w:val="nil"/>
            </w:tcBorders>
            <w:shd w:val="clear" w:color="auto" w:fill="FFFFFF"/>
            <w:vAlign w:val="center"/>
          </w:tcPr>
          <w:p w14:paraId="25619B7C">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偏差描述</w:t>
            </w:r>
          </w:p>
        </w:tc>
        <w:tc>
          <w:tcPr>
            <w:tcW w:w="0" w:type="auto"/>
            <w:tcBorders>
              <w:top w:val="single" w:color="000000" w:sz="4" w:space="0"/>
              <w:left w:val="nil"/>
              <w:bottom w:val="single" w:color="000000" w:sz="12" w:space="0"/>
              <w:right w:val="nil"/>
            </w:tcBorders>
            <w:shd w:val="clear" w:color="auto" w:fill="FFFFFF"/>
            <w:vAlign w:val="center"/>
          </w:tcPr>
          <w:p w14:paraId="2830B9D3">
            <w:pPr>
              <w:keepNext w:val="0"/>
              <w:keepLines w:val="0"/>
              <w:widowControl/>
              <w:suppressLineNumbers w:val="0"/>
              <w:jc w:val="center"/>
              <w:rPr>
                <w:rFonts w:hint="default" w:ascii="Times New Roman" w:hAnsi="Times New Roman" w:eastAsia="宋体" w:cs="Times New Roman"/>
                <w:b/>
                <w:bCs/>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安全认知提示</w:t>
            </w:r>
          </w:p>
        </w:tc>
      </w:tr>
      <w:tr w14:paraId="24934859">
        <w:tblPrEx>
          <w:tblCellMar>
            <w:top w:w="0" w:type="dxa"/>
            <w:left w:w="0" w:type="dxa"/>
            <w:bottom w:w="0" w:type="dxa"/>
            <w:right w:w="0" w:type="dxa"/>
          </w:tblCellMar>
        </w:tblPrEx>
        <w:trPr>
          <w:jc w:val="center"/>
        </w:trPr>
        <w:tc>
          <w:tcPr>
            <w:tcW w:w="0" w:type="auto"/>
            <w:tcBorders>
              <w:top w:val="single" w:color="000000" w:sz="12" w:space="0"/>
              <w:left w:val="nil"/>
              <w:bottom w:val="nil"/>
              <w:right w:val="nil"/>
            </w:tcBorders>
            <w:shd w:val="clear" w:color="auto" w:fill="FFFFFF"/>
            <w:vAlign w:val="center"/>
          </w:tcPr>
          <w:p w14:paraId="429F25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CBC&gt;20%</w:t>
            </w:r>
          </w:p>
        </w:tc>
        <w:tc>
          <w:tcPr>
            <w:tcW w:w="0" w:type="auto"/>
            <w:tcBorders>
              <w:top w:val="single" w:color="000000" w:sz="12" w:space="0"/>
              <w:left w:val="nil"/>
              <w:bottom w:val="nil"/>
              <w:right w:val="nil"/>
            </w:tcBorders>
            <w:shd w:val="clear" w:color="auto" w:fill="FFFFFF"/>
            <w:vAlign w:val="center"/>
          </w:tcPr>
          <w:p w14:paraId="026A27E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显著正偏差</w:t>
            </w:r>
          </w:p>
        </w:tc>
        <w:tc>
          <w:tcPr>
            <w:tcW w:w="0" w:type="auto"/>
            <w:tcBorders>
              <w:top w:val="single" w:color="000000" w:sz="12" w:space="0"/>
              <w:left w:val="nil"/>
              <w:bottom w:val="nil"/>
              <w:right w:val="nil"/>
            </w:tcBorders>
            <w:shd w:val="clear" w:color="auto" w:fill="FFFFFF"/>
            <w:vAlign w:val="center"/>
          </w:tcPr>
          <w:p w14:paraId="0B745E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存在安全隐患认知不足</w:t>
            </w:r>
          </w:p>
        </w:tc>
      </w:tr>
      <w:tr w14:paraId="03B4FA6C">
        <w:tblPrEx>
          <w:tblCellMar>
            <w:top w:w="0" w:type="dxa"/>
            <w:left w:w="0" w:type="dxa"/>
            <w:bottom w:w="0" w:type="dxa"/>
            <w:right w:w="0" w:type="dxa"/>
          </w:tblCellMar>
        </w:tblPrEx>
        <w:trPr>
          <w:jc w:val="center"/>
        </w:trPr>
        <w:tc>
          <w:tcPr>
            <w:tcW w:w="0" w:type="auto"/>
            <w:tcBorders>
              <w:top w:val="nil"/>
              <w:left w:val="nil"/>
              <w:bottom w:val="nil"/>
              <w:right w:val="nil"/>
            </w:tcBorders>
            <w:shd w:val="clear" w:color="auto" w:fill="FFFFFF"/>
            <w:vAlign w:val="center"/>
          </w:tcPr>
          <w:p w14:paraId="0F00E6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-20%≤CBC≤20%</w:t>
            </w:r>
          </w:p>
        </w:tc>
        <w:tc>
          <w:tcPr>
            <w:tcW w:w="0" w:type="auto"/>
            <w:tcBorders>
              <w:top w:val="nil"/>
              <w:left w:val="nil"/>
              <w:bottom w:val="nil"/>
              <w:right w:val="nil"/>
            </w:tcBorders>
            <w:shd w:val="clear" w:color="auto" w:fill="FFFFFF"/>
            <w:vAlign w:val="center"/>
          </w:tcPr>
          <w:p w14:paraId="0910642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认知基本准确</w:t>
            </w:r>
          </w:p>
        </w:tc>
        <w:tc>
          <w:tcPr>
            <w:tcW w:w="0" w:type="auto"/>
            <w:tcBorders>
              <w:top w:val="nil"/>
              <w:left w:val="nil"/>
              <w:bottom w:val="nil"/>
              <w:right w:val="nil"/>
            </w:tcBorders>
            <w:shd w:val="clear" w:color="auto" w:fill="FFFFFF"/>
            <w:vAlign w:val="center"/>
          </w:tcPr>
          <w:p w14:paraId="432735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主客观匹配良好</w:t>
            </w:r>
          </w:p>
        </w:tc>
      </w:tr>
      <w:tr w14:paraId="1A37F51A">
        <w:tblPrEx>
          <w:tblCellMar>
            <w:top w:w="0" w:type="dxa"/>
            <w:left w:w="0" w:type="dxa"/>
            <w:bottom w:w="0" w:type="dxa"/>
            <w:right w:w="0" w:type="dxa"/>
          </w:tblCellMar>
        </w:tblPrEx>
        <w:trPr>
          <w:jc w:val="center"/>
        </w:trPr>
        <w:tc>
          <w:tcPr>
            <w:tcW w:w="0" w:type="auto"/>
            <w:tcBorders>
              <w:top w:val="nil"/>
              <w:left w:val="nil"/>
              <w:bottom w:val="single" w:color="000000" w:sz="4" w:space="0"/>
              <w:right w:val="nil"/>
            </w:tcBorders>
            <w:shd w:val="clear" w:color="auto" w:fill="FFFFFF"/>
            <w:vAlign w:val="center"/>
          </w:tcPr>
          <w:p w14:paraId="37A57B5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CBC&lt;-20%</w:t>
            </w:r>
          </w:p>
        </w:tc>
        <w:tc>
          <w:tcPr>
            <w:tcW w:w="0" w:type="auto"/>
            <w:tcBorders>
              <w:top w:val="nil"/>
              <w:left w:val="nil"/>
              <w:bottom w:val="single" w:color="000000" w:sz="4" w:space="0"/>
              <w:right w:val="nil"/>
            </w:tcBorders>
            <w:shd w:val="clear" w:color="auto" w:fill="FFFFFF"/>
            <w:vAlign w:val="center"/>
          </w:tcPr>
          <w:p w14:paraId="7F25079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显著负偏差</w:t>
            </w:r>
          </w:p>
        </w:tc>
        <w:tc>
          <w:tcPr>
            <w:tcW w:w="0" w:type="auto"/>
            <w:tcBorders>
              <w:top w:val="nil"/>
              <w:left w:val="nil"/>
              <w:bottom w:val="single" w:color="000000" w:sz="4" w:space="0"/>
              <w:right w:val="nil"/>
            </w:tcBorders>
            <w:shd w:val="clear" w:color="auto" w:fill="FFFFFF"/>
            <w:vAlign w:val="center"/>
          </w:tcPr>
          <w:p w14:paraId="32F05DE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过度谨慎或环境信任不足</w:t>
            </w:r>
          </w:p>
        </w:tc>
      </w:tr>
    </w:tbl>
    <w:p w14:paraId="2A173646">
      <w:pPr>
        <w:pStyle w:val="4"/>
        <w:numPr>
          <w:ilvl w:val="0"/>
          <w:numId w:val="0"/>
        </w:numPr>
        <w:ind w:firstLine="480" w:firstLineChars="200"/>
        <w:jc w:val="both"/>
        <w:rPr>
          <w:rFonts w:hint="eastAsia" w:ascii="Times New Roman" w:hAnsi="Times New Roman" w:cs="Times New Roman"/>
          <w:lang w:val="en-US" w:eastAsia="zh-CN"/>
        </w:rPr>
      </w:pPr>
    </w:p>
    <w:p w14:paraId="7A766BC8">
      <w:pPr>
        <w:pStyle w:val="4"/>
        <w:numPr>
          <w:ilvl w:val="0"/>
          <w:numId w:val="2"/>
        </w:numPr>
        <w:ind w:left="0" w:leftChars="0" w:firstLine="0" w:firstLineChars="0"/>
        <w:rPr>
          <w:rFonts w:hint="eastAsia" w:ascii="Times New Roman" w:hAnsi="Times New Roman" w:eastAsia="黑体" w:cs="Times New Roman"/>
          <w:lang w:val="en-US" w:eastAsia="zh-CN"/>
        </w:rPr>
      </w:pPr>
      <w:r>
        <w:rPr>
          <w:rFonts w:hint="eastAsia" w:ascii="Times New Roman" w:hAnsi="Times New Roman" w:eastAsia="黑体" w:cs="Times New Roman"/>
          <w:lang w:val="en-US" w:eastAsia="zh-CN"/>
        </w:rPr>
        <w:t>深度访谈设计与参与式设计</w:t>
      </w:r>
    </w:p>
    <w:p w14:paraId="1FB7E3A6">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深度访谈作为质性研究的核心方法，旨在深入挖掘认知偏差背后的心理机制和设计需求的本质内涵。研究采用半结构化访谈形式，对30名校园共享道路交通冲突者进行一对一访谈。访谈对象通过目的性抽样选取，其筛选标准包括：在校时间超过2年、平均每日出行次数超过4次、愿意分享详细体验且表达能力良好。为确保样本多样性，访谈对象涵盖不同年级、不同学科背景。访谈过程全程录音并逐字转录，并使用AI工具进行系统整理和分析。访谈提纲围绕四个核心主题展开：</w:t>
      </w:r>
    </w:p>
    <w:p w14:paraId="34B84E8F">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①主题一：日常路径选择的认知逻辑。探究参与者选择特定通行路径的考量因素，例如“从宿舍前往图书馆，您通常会选择哪条路线？原因是什么？”通过深入追问，引导参与者对安全因素在路径决策中的权重进行反思。</w:t>
      </w:r>
    </w:p>
    <w:p w14:paraId="78B3D62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②主题二：危险情境的识别与归因。本研究要求参与者详细阐述最近一次“险些发生事故”或“感觉极为危险”的经历，涵盖具体情境、当时的认知判断、行为反应以及事后反思。借助这些生动的叙事素材，识别认知偏差的触发情境。</w:t>
      </w:r>
    </w:p>
    <w:p w14:paraId="55540469">
      <w:pPr>
        <w:pStyle w:val="4"/>
        <w:numPr>
          <w:ilvl w:val="0"/>
          <w:numId w:val="0"/>
        </w:numPr>
        <w:ind w:firstLine="480" w:firstLineChars="200"/>
        <w:jc w:val="both"/>
        <w:rPr>
          <w:rFonts w:hint="eastAsia" w:eastAsia="宋体"/>
          <w:lang w:eastAsia="zh-CN"/>
        </w:rPr>
      </w:pPr>
      <w:r>
        <w:rPr>
          <w:rFonts w:hint="eastAsia" w:ascii="Times New Roman" w:hAnsi="Times New Roman" w:cs="Times New Roman"/>
          <w:lang w:val="en-US" w:eastAsia="zh-CN"/>
        </w:rPr>
        <w:t>③主题三：现有标识系统的认知评价。展示实际路段的标识系统照片，询问参与者对其有效性、清晰度和合理性的评价，以识别现有系统存在的不足之处。</w:t>
      </w:r>
    </w:p>
    <w:p w14:paraId="447650FB">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④主题四：理想安全环境的想象建构。邀请参与者描绘“最能让您感到安全的校园道路应呈现何种样貌”，鼓励从物理环境、信息系统、管理策略等多个维度进行构想。这一开放性问题旨在挖掘未被满足的潜在需求。</w:t>
      </w:r>
    </w:p>
    <w:p w14:paraId="63004155">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此外，参与式设计强调设计过程中的利益相关方协同创造，是用户中心设计理念的深化实践。本研究组织了3场参与式设计工作坊，每场历时2小时，邀请8-10名参与者，成员构成包括：行人代表、骑行者代表、校园交通管理人员、环境设计师及交通工程专家。工作坊采用设计思维五阶段法，简化为四个环节，包括：体验地图绘制、需求优先级排序、创意构思与原型与方案展示与评估。</w:t>
      </w:r>
    </w:p>
    <w:p w14:paraId="23FFDE90">
      <w:pPr>
        <w:pStyle w:val="2"/>
        <w:spacing w:before="100" w:after="480" w:line="400" w:lineRule="exact"/>
        <w:rPr>
          <w:rFonts w:hint="eastAsia"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2研究流程</w:t>
      </w:r>
    </w:p>
    <w:p w14:paraId="587F5E5A">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研究准备阶段</w:t>
      </w:r>
    </w:p>
    <w:p w14:paraId="38232B6B">
      <w:pPr>
        <w:pStyle w:val="4"/>
        <w:numPr>
          <w:ilvl w:val="0"/>
          <w:numId w:val="0"/>
        </w:numPr>
        <w:ind w:firstLine="480" w:firstLineChars="200"/>
        <w:jc w:val="both"/>
        <w:rPr>
          <w:rFonts w:hint="default" w:ascii="Times New Roman" w:hAnsi="Times New Roman" w:cs="Times New Roman"/>
          <w:lang w:val="en-US" w:eastAsia="zh-CN"/>
        </w:rPr>
      </w:pPr>
      <w:r>
        <w:rPr>
          <w:rFonts w:hint="eastAsia" w:ascii="Times New Roman" w:hAnsi="Times New Roman" w:cs="Times New Roman"/>
          <w:lang w:val="en-US" w:eastAsia="zh-CN"/>
        </w:rPr>
        <w:t xml:space="preserve">在研究准备阶段，首要任务为确定研究场地并构建场景特征数据库。以前期子任务所识别出的5个校园道路冲突热点区域为核心，并补充4个场景类型互补的路段，共选取9个路段作为研究对象。路段选择遵循类型多样性原则，涵盖T型交叉口、弯道路段、广场边缘、坡道路段、建筑出入口、直行路段，共计六种典型场景类型。此外，本研究运用手持式激光测距仪，精准测量各路段的几何参数，涵盖道路宽度、曲率半径、纵坡坡度、视距三角区尺寸等。同时，采用鱼眼相机拍摄360度全景照片，记录周边建筑、植被、地面铺装等环境特征。将这些数据整合为场景特征数据库，作为AI图像生成的参数输入。</w:t>
      </w:r>
    </w:p>
    <w:p w14:paraId="57CC0274">
      <w:pPr>
        <w:pStyle w:val="4"/>
        <w:numPr>
          <w:ilvl w:val="0"/>
          <w:numId w:val="0"/>
        </w:numPr>
        <w:ind w:firstLine="480" w:firstLineChars="200"/>
        <w:jc w:val="both"/>
        <w:rPr>
          <w:rFonts w:hint="eastAsia" w:ascii="Times New Roman" w:hAnsi="Times New Roman" w:cs="Times New Roman"/>
          <w:lang w:val="en-US" w:eastAsia="zh-CN"/>
        </w:rPr>
      </w:pPr>
      <w:r>
        <w:rPr>
          <w:rFonts w:hint="eastAsia" w:ascii="Times New Roman" w:hAnsi="Times New Roman" w:cs="Times New Roman"/>
          <w:lang w:val="en-US" w:eastAsia="zh-CN"/>
        </w:rPr>
        <w:t>AI场景生成采用Stable Diffusion模型并基于Liblibai平台，通过迭代优化提示词工程，保障生成图像的真实性与可控性。提示词模板包含五个维度：场景类型（例如“一条校园共享道路，T型交叉口”）、道路参数（例如“宽度3.5米，沥青路面”）、标识配置（例如“设有中等密度的地面标识和标志牌”）、环境条件（例如“黄昏时分，开启路灯照明，中等交通流量”）、视角设定（例如“从行人/骑行者的第一视角观察，视线高度1.6米”）。针对每个场景组合，生成3个版本的候选图像，由5名环境设计专家进行盲评，评估维度包括真实度、清晰度及一致性。选取综合评分最高的版本纳入实验刺激库。经过三轮筛选，最终形成96张高质量的以行人与骑行者第一人称视角测试场景图（例图如图7所示）。</w:t>
      </w:r>
    </w:p>
    <w:p w14:paraId="1944A016">
      <w:pPr>
        <w:pStyle w:val="4"/>
        <w:numPr>
          <w:ilvl w:val="0"/>
          <w:numId w:val="0"/>
        </w:numPr>
        <w:ind w:firstLine="480" w:firstLineChars="200"/>
        <w:jc w:val="both"/>
        <w:rPr>
          <w:rFonts w:hint="eastAsia" w:ascii="Times New Roman" w:hAnsi="Times New Roman" w:cs="Times New Roman"/>
          <w:lang w:val="en-US" w:eastAsia="zh-CN"/>
        </w:rPr>
      </w:pPr>
      <w:r>
        <w:rPr>
          <w:rFonts w:hint="default" w:ascii="Times New Roman" w:hAnsi="Times New Roman" w:cs="Times New Roman"/>
          <w:lang w:val="en-US" w:eastAsia="zh-CN"/>
        </w:rPr>
        <w:t>同步开展参与者招募工作</w:t>
      </w:r>
      <w:r>
        <w:rPr>
          <w:rFonts w:hint="eastAsia" w:ascii="Times New Roman" w:hAnsi="Times New Roman" w:cs="Times New Roman"/>
          <w:lang w:val="en-US" w:eastAsia="zh-CN"/>
        </w:rPr>
        <w:t>，基于滚雪球抽样法</w:t>
      </w:r>
      <w:r>
        <w:rPr>
          <w:rFonts w:hint="default" w:ascii="Times New Roman" w:hAnsi="Times New Roman" w:cs="Times New Roman"/>
          <w:lang w:val="en-US" w:eastAsia="zh-CN"/>
        </w:rPr>
        <w:t>初步招募了138名志愿者。通过在线筛选问卷</w:t>
      </w:r>
      <w:r>
        <w:rPr>
          <w:rFonts w:hint="eastAsia" w:ascii="Times New Roman" w:hAnsi="Times New Roman" w:cs="Times New Roman"/>
          <w:lang w:val="en-US" w:eastAsia="zh-CN"/>
        </w:rPr>
        <w:t>，</w:t>
      </w:r>
      <w:r>
        <w:rPr>
          <w:rFonts w:hint="default" w:ascii="Times New Roman" w:hAnsi="Times New Roman" w:cs="Times New Roman"/>
          <w:lang w:val="en-US" w:eastAsia="zh-CN"/>
        </w:rPr>
        <w:t>排除在校时间不足1年、视力异常、色盲色弱等不符合条件者</w:t>
      </w:r>
      <w:r>
        <w:rPr>
          <w:rFonts w:hint="eastAsia" w:ascii="Times New Roman" w:hAnsi="Times New Roman" w:cs="Times New Roman"/>
          <w:lang w:val="en-US" w:eastAsia="zh-CN"/>
        </w:rPr>
        <w:t>，</w:t>
      </w:r>
      <w:r>
        <w:rPr>
          <w:rFonts w:hint="default" w:ascii="Times New Roman" w:hAnsi="Times New Roman" w:cs="Times New Roman"/>
          <w:lang w:val="en-US" w:eastAsia="zh-CN"/>
        </w:rPr>
        <w:t>最终确定90名参与者。</w:t>
      </w:r>
      <w:r>
        <w:rPr>
          <w:rFonts w:hint="eastAsia" w:ascii="Times New Roman" w:hAnsi="Times New Roman" w:cs="Times New Roman"/>
          <w:lang w:val="en-US" w:eastAsia="zh-CN"/>
        </w:rPr>
        <w:t>将参与者按照主要出行方式分为行人组（45人）和骑行者组（45人），两组在性别、年龄、学科背景上保持均衡分布。</w:t>
      </w:r>
      <w:r>
        <w:rPr>
          <w:rFonts w:hint="default" w:ascii="Times New Roman" w:hAnsi="Times New Roman" w:cs="Times New Roman"/>
          <w:lang w:val="en-US" w:eastAsia="zh-CN"/>
        </w:rPr>
        <w:t>所有参与者签署知情同意书</w:t>
      </w:r>
      <w:r>
        <w:rPr>
          <w:rFonts w:hint="eastAsia" w:ascii="Times New Roman" w:hAnsi="Times New Roman" w:cs="Times New Roman"/>
          <w:lang w:val="en-US" w:eastAsia="zh-CN"/>
        </w:rPr>
        <w:t>，</w:t>
      </w:r>
      <w:r>
        <w:rPr>
          <w:rFonts w:hint="default" w:ascii="Times New Roman" w:hAnsi="Times New Roman" w:cs="Times New Roman"/>
          <w:lang w:val="en-US" w:eastAsia="zh-CN"/>
        </w:rPr>
        <w:t>明确数据用途和隐私保护措施。</w:t>
      </w:r>
    </w:p>
    <w:p w14:paraId="41403959">
      <w:pPr>
        <w:pStyle w:val="4"/>
        <w:numPr>
          <w:ilvl w:val="0"/>
          <w:numId w:val="0"/>
        </w:numPr>
        <w:ind w:firstLine="480" w:firstLineChars="200"/>
        <w:jc w:val="both"/>
        <w:rPr>
          <w:rFonts w:hint="eastAsia" w:ascii="Times New Roman" w:hAnsi="Times New Roman" w:cs="Times New Roman"/>
          <w:lang w:val="en-US" w:eastAsia="zh-CN"/>
        </w:rPr>
      </w:pPr>
      <w:r>
        <w:rPr>
          <w:rFonts w:ascii="宋体" w:hAnsi="宋体" w:eastAsia="宋体" w:cs="宋体"/>
          <w:sz w:val="24"/>
          <w:szCs w:val="24"/>
        </w:rPr>
        <w:drawing>
          <wp:anchor distT="0" distB="0" distL="114300" distR="114300" simplePos="0" relativeHeight="251664384" behindDoc="0" locked="0" layoutInCell="1" allowOverlap="1">
            <wp:simplePos x="0" y="0"/>
            <wp:positionH relativeFrom="column">
              <wp:posOffset>50800</wp:posOffset>
            </wp:positionH>
            <wp:positionV relativeFrom="paragraph">
              <wp:posOffset>388620</wp:posOffset>
            </wp:positionV>
            <wp:extent cx="5285740" cy="2973705"/>
            <wp:effectExtent l="0" t="0" r="2540" b="13335"/>
            <wp:wrapTopAndBottom/>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3"/>
                    <a:stretch>
                      <a:fillRect/>
                    </a:stretch>
                  </pic:blipFill>
                  <pic:spPr>
                    <a:xfrm>
                      <a:off x="0" y="0"/>
                      <a:ext cx="5285740" cy="2973705"/>
                    </a:xfrm>
                    <a:prstGeom prst="rect">
                      <a:avLst/>
                    </a:prstGeom>
                    <a:noFill/>
                    <a:ln w="9525">
                      <a:noFill/>
                    </a:ln>
                  </pic:spPr>
                </pic:pic>
              </a:graphicData>
            </a:graphic>
          </wp:anchor>
        </w:drawing>
      </w:r>
    </w:p>
    <w:p w14:paraId="71E34018">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eastAsia" w:ascii="Times New Roman" w:hAnsi="Times New Roman" w:cs="Times New Roman"/>
          <w:lang w:val="en-US" w:eastAsia="zh-CN"/>
        </w:rPr>
        <w:t>图7 基于AI生成的共享道路交通参与者第一人称视角测试场景图（部分）</w:t>
      </w:r>
    </w:p>
    <w:p w14:paraId="045FD39E">
      <w:pPr>
        <w:pStyle w:val="4"/>
        <w:numPr>
          <w:ilvl w:val="0"/>
          <w:numId w:val="0"/>
        </w:numPr>
        <w:ind w:firstLine="480" w:firstLineChars="200"/>
        <w:jc w:val="both"/>
        <w:rPr>
          <w:rFonts w:hint="eastAsia" w:ascii="Times New Roman" w:hAnsi="Times New Roman" w:cs="Times New Roman"/>
          <w:lang w:val="en-US" w:eastAsia="zh-CN"/>
        </w:rPr>
      </w:pPr>
    </w:p>
    <w:p w14:paraId="6151270B">
      <w:pPr>
        <w:pStyle w:val="4"/>
        <w:numPr>
          <w:ilvl w:val="0"/>
          <w:numId w:val="3"/>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数据收集阶段</w:t>
      </w:r>
    </w:p>
    <w:p w14:paraId="0E4AA272">
      <w:pPr>
        <w:pStyle w:val="4"/>
        <w:numPr>
          <w:ilvl w:val="0"/>
          <w:numId w:val="0"/>
        </w:numPr>
        <w:ind w:firstLine="480" w:firstLineChars="200"/>
        <w:jc w:val="both"/>
        <w:rPr>
          <w:rFonts w:hint="default" w:ascii="Times New Roman" w:hAnsi="Times New Roman" w:eastAsia="宋体" w:cs="Times New Roman"/>
          <w:lang w:eastAsia="zh-CN"/>
        </w:rPr>
      </w:pPr>
      <w:r>
        <w:rPr>
          <w:rFonts w:hint="eastAsia" w:ascii="Times New Roman" w:hAnsi="Times New Roman" w:cs="Times New Roman"/>
          <w:lang w:val="en-US" w:eastAsia="zh-CN"/>
        </w:rPr>
        <w:t xml:space="preserve">问卷调查借助问卷星平台予以发布，研究团队将问卷链接向90名参与者进行定向推送。为保障答题质量，设置了完成时间区间（自收到链接起3天内完成）以及最短作答时长限制（不少于15分钟），对于完成速度过快的问卷标记为可疑数据。问卷采用部分随机化设计，每位参与者所看到的10张场景图片从96张图片库中随机抽取，以此确保每张场景图片获得8至11人评价，平均为9.1人，进而实现样本分布的均衡性。参与者首先需完成基本信息的填写，涵盖性别、年龄、在校年限、院系专业、主要出行方式、每周校园出行频次以及是否经历过交通事故或险情等内容。随后进入场景评价环节，每张场景图片呈现在屏幕中央，并配有简要的情境描述。参与者会受到引导语提示：“请设想你正在图片所示的道路上行走/骑行，依据你的直观感受，对该场景中的通行安全程度进行评价。”下方呈现4个评分选项，参与者点选后自动进入下一场景。在完成全部10张场景的评价后，问卷设置了两个开放式问题，分别为“当你判定一条道路是否安全时，主要关注哪些因素？”以及“你认为现有的校园道路标识系统存在哪些缺陷？有何改进建议？”，开放性回答为后续访谈提纲的设计提供了重要参考依据。数据收集工作历时两周，共回收问卷90份，其中有效问卷87份（有效率为96.7%），3份问卷因完成时间过短（少于8分钟）或答案呈现明显规律性而被剔除。有效问卷生成了870个场景-评分数据点（87人*10场景），为后续的统计分析提供了充足的样本量。</w:t>
      </w:r>
    </w:p>
    <w:p w14:paraId="7FB88091">
      <w:pPr>
        <w:pStyle w:val="4"/>
        <w:numPr>
          <w:ilvl w:val="0"/>
          <w:numId w:val="0"/>
        </w:numPr>
        <w:ind w:firstLine="480" w:firstLineChars="200"/>
        <w:jc w:val="both"/>
        <w:rPr>
          <w:rFonts w:hint="default" w:ascii="Times New Roman" w:hAnsi="Times New Roman" w:eastAsia="宋体" w:cs="Times New Roman"/>
          <w:sz w:val="24"/>
          <w:szCs w:val="24"/>
          <w:lang w:val="en-US" w:eastAsia="zh-CN"/>
        </w:rPr>
      </w:pPr>
      <w:r>
        <w:rPr>
          <w:rFonts w:hint="default" w:ascii="Times New Roman" w:hAnsi="Times New Roman" w:cs="Times New Roman"/>
          <w:lang w:val="en-US" w:eastAsia="zh-CN"/>
        </w:rPr>
        <w:t>此外，</w:t>
      </w:r>
      <w:r>
        <w:rPr>
          <w:rFonts w:hint="eastAsia" w:ascii="Times New Roman" w:hAnsi="Times New Roman" w:cs="Times New Roman"/>
          <w:sz w:val="24"/>
          <w:szCs w:val="24"/>
          <w:lang w:eastAsia="zh-CN"/>
        </w:rPr>
        <w:t>高校共享道路交通安全</w:t>
      </w:r>
      <w:r>
        <w:rPr>
          <w:rFonts w:hint="default" w:ascii="Times New Roman" w:hAnsi="Times New Roman" w:eastAsia="宋体" w:cs="Times New Roman"/>
          <w:sz w:val="24"/>
          <w:szCs w:val="24"/>
        </w:rPr>
        <w:t>客观指标需要对</w:t>
      </w:r>
      <w:r>
        <w:rPr>
          <w:rFonts w:hint="default" w:ascii="Times New Roman" w:hAnsi="Times New Roman" w:cs="Times New Roman"/>
          <w:sz w:val="24"/>
          <w:szCs w:val="24"/>
          <w:lang w:val="en-US" w:eastAsia="zh-CN"/>
        </w:rPr>
        <w:t>9</w:t>
      </w:r>
      <w:r>
        <w:rPr>
          <w:rFonts w:hint="default" w:ascii="Times New Roman" w:hAnsi="Times New Roman" w:eastAsia="宋体" w:cs="Times New Roman"/>
          <w:sz w:val="24"/>
          <w:szCs w:val="24"/>
        </w:rPr>
        <w:t>个研究路段进行系统性的实地测量和专业评估。数据采集由跨学科团队完成</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包括2名交通工程师、1名环境设计师和3名经过培训的研究助理</w:t>
      </w:r>
      <w:r>
        <w:rPr>
          <w:rFonts w:hint="eastAsia" w:ascii="Times New Roman" w:hAnsi="Times New Roman" w:cs="Times New Roman"/>
          <w:sz w:val="24"/>
          <w:szCs w:val="24"/>
          <w:lang w:eastAsia="zh-CN"/>
        </w:rPr>
        <w:t>，</w:t>
      </w:r>
      <w:r>
        <w:rPr>
          <w:rFonts w:hint="default" w:ascii="Times New Roman" w:hAnsi="Times New Roman" w:eastAsia="宋体" w:cs="Times New Roman"/>
          <w:sz w:val="24"/>
          <w:szCs w:val="24"/>
        </w:rPr>
        <w:t>历时两周完成全部测量工作。</w:t>
      </w:r>
      <w:r>
        <w:rPr>
          <w:rFonts w:hint="default" w:ascii="Times New Roman" w:hAnsi="Times New Roman" w:cs="Times New Roman"/>
          <w:sz w:val="24"/>
          <w:szCs w:val="24"/>
          <w:lang w:val="en-US" w:eastAsia="zh-CN"/>
        </w:rPr>
        <w:t>其中，各部分的客观数据均取5次测量中的均值，以减少测试中的数据误差。</w:t>
      </w:r>
    </w:p>
    <w:p w14:paraId="212A45C4">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3</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3研究结果</w:t>
      </w:r>
    </w:p>
    <w:p w14:paraId="0EBF113C">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受试样本特征</w:t>
      </w:r>
    </w:p>
    <w:p w14:paraId="04FDCFAD">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 xml:space="preserve">本研究共获得87份有效问卷，参与者基本特征如下：性别分布均衡，男性42人（48.3%），女性45人（51.7%）；年龄范围18-28岁，平均年龄22.3岁（SD=2.4)；在校年限1-7年，平均3.5年（SD=1.9)；主要出行方式中，步行为主者44人（50.6%），骑行为主者43人（49.4%）；平均每周校园出行频次14.5次（SD=4.8）。受试参与者学科背景涵盖理工科、人文社科及艺术类，样本代表性良好。</w:t>
      </w:r>
    </w:p>
    <w:p w14:paraId="6244F94F">
      <w:pPr>
        <w:pStyle w:val="4"/>
        <w:numPr>
          <w:ilvl w:val="0"/>
          <w:numId w:val="0"/>
        </w:numPr>
        <w:ind w:firstLine="480" w:firstLineChars="200"/>
        <w:jc w:val="both"/>
        <w:rPr>
          <w:rFonts w:hint="default" w:ascii="Times New Roman" w:hAnsi="Times New Roman" w:cs="Times New Roman"/>
          <w:lang w:val="en-US" w:eastAsia="zh-CN"/>
        </w:rPr>
      </w:pPr>
      <w:r>
        <w:rPr>
          <w:rFonts w:hint="default" w:ascii="Times New Roman" w:hAnsi="Times New Roman" w:cs="Times New Roman"/>
          <w:lang w:val="en-US" w:eastAsia="zh-CN"/>
        </w:rPr>
        <w:t>深度访谈的30名参与者中，本科生12人，研究生13人，博士生5人；15名行人代表中，女性9人，男性6人；15名骑行者代表中，女性6人，男性9人。参与式设计工作坊共28人次参与（3场，部分人员重复参与）。</w:t>
      </w:r>
    </w:p>
    <w:p w14:paraId="586F7198">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认知偏差的总体分布特征</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96个模拟场景的主观安全评分均值为1.98（标准差SD=0.50），客观安全指数均值为1.85（标准差SD=0.42）。总体而言，主观评分略高于客观指数，呈现出轻度正偏差倾向。配对样本t检验结果表明，主观评分显著高于客观指数，t(95)=3.04，p=0.003，Cohen's d=0.31，效应量为中等水平</w:t>
      </w:r>
      <w:r>
        <w:rPr>
          <w:rFonts w:hint="eastAsia" w:ascii="Times New Roman" w:hAnsi="Times New Roman" w:cs="Times New Roman"/>
          <w:i w:val="0"/>
          <w:color w:val="000000"/>
          <w:sz w:val="24"/>
          <w:szCs w:val="24"/>
          <w:lang w:val="en-US" w:eastAsia="zh-CN"/>
          <w:vertAlign w:val="superscript"/>
        </w:rPr>
        <w:t xml:space="preserve">[72]</w:t>
      </w:r>
      <w:r>
        <w:rPr>
          <w:rFonts w:hint="eastAsia" w:ascii="Times New Roman" w:hAnsi="Times New Roman" w:cs="Times New Roman"/>
          <w:i w:val="0"/>
          <w:color w:val="000000"/>
          <w:sz w:val="24"/>
          <w:szCs w:val="24"/>
          <w:lang w:val="en-US" w:eastAsia="zh-CN"/>
        </w:rPr>
        <w:t xml:space="preserve">。然而，偏差分布表现出显著的异质性。认知偏差系数CBC的均值为8.3%（标准差SD=31.1%），取值范围从-52.1%至+71.3%。分布直方图呈现出明显的双峰特征，一个峰值位于CBC≈-16%（过度谨慎），另一个峰值位于CBC≈+27%（过度自信），这提示存在两种不同的认知模式并存的情况。按照既定阈值划分，96个场景中：共有33个（34.4%）场景呈显著正偏差，40个（41.7%）场景呈准确认知，23个（24.0%）场景呈显著负偏差。这一结果表明，超过半数的场景存在显著认知偏差，其中正偏差明显多于负偏差，验证了认知偏差问题的普遍性和严重性。相比准确认知场景，偏差场景的占比超过一半，提示现有的校园共享交通环境在支持准确风险判断方面存在系统性不足。</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表23呈现了不同道路类型场景的认知偏差特征。研究结果显示，不同场景类型在风险认知偏差方面呈现显著差异。在高校共享道路情境下，弯道路段表现出最明显的正偏差，平均CBC达到32.8%，超过60%的场景被显著低估风险。进一步分析发现，视觉遮挡是导致偏差的关键因素。弯道的几何特征限制了可视距离，但交通参与者往往依据路面的平整度与宽度进行安全判断，从而忽略潜在的隐性危险。访谈结果亦支持这一发现，一位骑行者提到：“弯道看起来挺宽敞的，路面也很好，我一般都会保持速度，没想到会有人突然出现。”与此相反，建筑出入口场景呈现显著负偏差，平均CBC为-19.3%，约半数场景存在风险高估。该现象可能与“可得性启发式”有关</w:t>
      </w:r>
      <w:r>
        <w:rPr>
          <w:rFonts w:hint="eastAsia" w:ascii="Times New Roman" w:hAnsi="Times New Roman" w:cs="Times New Roman"/>
          <w:i w:val="0"/>
          <w:color w:val="000000"/>
          <w:sz w:val="24"/>
          <w:szCs w:val="24"/>
          <w:lang w:val="en-US" w:eastAsia="zh-CN"/>
          <w:vertAlign w:val="superscript"/>
        </w:rPr>
        <w:t xml:space="preserve">[43]</w:t>
      </w:r>
      <w:r>
        <w:rPr>
          <w:rFonts w:hint="eastAsia" w:ascii="Times New Roman" w:hAnsi="Times New Roman" w:cs="Times New Roman"/>
          <w:i w:val="0"/>
          <w:color w:val="000000"/>
          <w:sz w:val="24"/>
          <w:szCs w:val="24"/>
          <w:lang w:val="en-US" w:eastAsia="zh-CN"/>
        </w:rPr>
        <w:t xml:space="preserve">：出入口的突发性情境更易在记忆中留下印象，导致使用者倾向于高估风险。然而，客观数据表明，出入口的实际事故率低于T型交叉口和弯道，这可能归因于行人在出门前通常会观察环境，并受到出入口视觉标志的提醒。相比之下，直行路段的风险认知最为准确，准确认知比例达到55.5%，平均偏差接近零（-3.6%）。这一结果表明，在环境简洁、信息明确的情境下，使用者能够作出更接近客观状况的判断，因而直行路段为其他复杂场景的安全设计改进提供了可参考的基准。</w:t>
      </w:r>
    </w:p>
    <w:p w14:paraId="0DE5D53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467A003">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36AB3461">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lang w:val="en-US" w:eastAsia="zh-CN"/>
        </w:rPr>
      </w:pPr>
      <w:r>
        <w:rPr>
          <w:rFonts w:hint="eastAsia" w:ascii="Times New Roman" w:hAnsi="Times New Roman" w:cs="Times New Roman"/>
          <w:lang w:val="en-US" w:eastAsia="zh-CN"/>
        </w:rPr>
        <w:t xml:space="preserve">表23 高校共享道路情境下不同场景类型的认知偏差统计</w:t>
      </w:r>
    </w:p>
    <w:tbl>
      <w:tblPr>
        <w:tblStyle w:val="8"/>
        <w:tblW w:w="872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2"/>
        <w:gridCol w:w="775"/>
        <w:gridCol w:w="913"/>
        <w:gridCol w:w="1074"/>
        <w:gridCol w:w="1550"/>
        <w:gridCol w:w="1550"/>
        <w:gridCol w:w="1360"/>
      </w:tblGrid>
      <w:tr w14:paraId="08DFA6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1502" w:type="dxa"/>
            <w:tcBorders>
              <w:top w:val="single" w:color="000000" w:sz="4" w:space="0"/>
              <w:left w:val="nil"/>
              <w:bottom w:val="single" w:color="000000" w:sz="12" w:space="0"/>
              <w:right w:val="nil"/>
            </w:tcBorders>
            <w:shd w:val="clear" w:color="auto" w:fill="FFFFFF"/>
            <w:noWrap/>
            <w:vAlign w:val="center"/>
          </w:tcPr>
          <w:p w14:paraId="2CCB2F8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场景类型</w:t>
            </w:r>
          </w:p>
        </w:tc>
        <w:tc>
          <w:tcPr>
            <w:tcW w:w="775" w:type="dxa"/>
            <w:tcBorders>
              <w:top w:val="single" w:color="000000" w:sz="4" w:space="0"/>
              <w:left w:val="nil"/>
              <w:bottom w:val="single" w:color="000000" w:sz="12" w:space="0"/>
              <w:right w:val="nil"/>
            </w:tcBorders>
            <w:shd w:val="clear" w:color="auto" w:fill="FFFFFF"/>
            <w:noWrap/>
            <w:vAlign w:val="center"/>
          </w:tcPr>
          <w:p w14:paraId="611833FB">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场景数</w:t>
            </w:r>
          </w:p>
        </w:tc>
        <w:tc>
          <w:tcPr>
            <w:tcW w:w="913" w:type="dxa"/>
            <w:tcBorders>
              <w:top w:val="single" w:color="000000" w:sz="4" w:space="0"/>
              <w:left w:val="nil"/>
              <w:bottom w:val="single" w:color="000000" w:sz="12" w:space="0"/>
              <w:right w:val="nil"/>
            </w:tcBorders>
            <w:shd w:val="clear" w:color="auto" w:fill="FFFFFF"/>
            <w:noWrap/>
            <w:vAlign w:val="center"/>
          </w:tcPr>
          <w:p w14:paraId="70FD76E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平均CBC</w:t>
            </w:r>
          </w:p>
          <w:p w14:paraId="61F363A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w:t>
            </w:r>
          </w:p>
        </w:tc>
        <w:tc>
          <w:tcPr>
            <w:tcW w:w="1074" w:type="dxa"/>
            <w:tcBorders>
              <w:top w:val="single" w:color="000000" w:sz="4" w:space="0"/>
              <w:left w:val="nil"/>
              <w:bottom w:val="single" w:color="000000" w:sz="12" w:space="0"/>
              <w:right w:val="nil"/>
            </w:tcBorders>
            <w:shd w:val="clear" w:color="auto" w:fill="FFFFFF"/>
            <w:noWrap/>
            <w:vAlign w:val="center"/>
          </w:tcPr>
          <w:p w14:paraId="3E636D6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标准差（%）</w:t>
            </w:r>
          </w:p>
        </w:tc>
        <w:tc>
          <w:tcPr>
            <w:tcW w:w="1550" w:type="dxa"/>
            <w:tcBorders>
              <w:top w:val="single" w:color="000000" w:sz="4" w:space="0"/>
              <w:left w:val="nil"/>
              <w:bottom w:val="single" w:color="000000" w:sz="12" w:space="0"/>
              <w:right w:val="nil"/>
            </w:tcBorders>
            <w:shd w:val="clear" w:color="auto" w:fill="FFFFFF"/>
            <w:noWrap/>
            <w:vAlign w:val="center"/>
          </w:tcPr>
          <w:p w14:paraId="3D00752A">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显著正偏差比例</w:t>
            </w:r>
          </w:p>
        </w:tc>
        <w:tc>
          <w:tcPr>
            <w:tcW w:w="1550" w:type="dxa"/>
            <w:tcBorders>
              <w:top w:val="single" w:color="000000" w:sz="4" w:space="0"/>
              <w:left w:val="nil"/>
              <w:bottom w:val="single" w:color="000000" w:sz="12" w:space="0"/>
              <w:right w:val="nil"/>
            </w:tcBorders>
            <w:shd w:val="clear" w:color="auto" w:fill="FFFFFF"/>
            <w:noWrap/>
            <w:vAlign w:val="center"/>
          </w:tcPr>
          <w:p w14:paraId="41DFFF9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显著负偏差比例</w:t>
            </w:r>
          </w:p>
        </w:tc>
        <w:tc>
          <w:tcPr>
            <w:tcW w:w="1360" w:type="dxa"/>
            <w:tcBorders>
              <w:top w:val="single" w:color="000000" w:sz="4" w:space="0"/>
              <w:left w:val="nil"/>
              <w:bottom w:val="single" w:color="000000" w:sz="12" w:space="0"/>
              <w:right w:val="nil"/>
            </w:tcBorders>
            <w:shd w:val="clear" w:color="auto" w:fill="FFFFFF"/>
            <w:noWrap/>
            <w:vAlign w:val="center"/>
          </w:tcPr>
          <w:p w14:paraId="1AA70DA4">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准确认知比例</w:t>
            </w:r>
          </w:p>
        </w:tc>
      </w:tr>
      <w:tr w14:paraId="74D96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single" w:color="000000" w:sz="4" w:space="0"/>
              <w:left w:val="nil"/>
              <w:bottom w:val="nil"/>
              <w:right w:val="nil"/>
              <w:tl2br w:val="nil"/>
            </w:tcBorders>
            <w:shd w:val="clear" w:color="auto" w:fill="FFFFFF"/>
            <w:noWrap/>
            <w:vAlign w:val="center"/>
          </w:tcPr>
          <w:p w14:paraId="05FB213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T型交叉口</w:t>
            </w:r>
          </w:p>
        </w:tc>
        <w:tc>
          <w:tcPr>
            <w:tcW w:w="775" w:type="dxa"/>
            <w:tcBorders>
              <w:top w:val="single" w:color="000000" w:sz="4" w:space="0"/>
              <w:left w:val="nil"/>
              <w:bottom w:val="nil"/>
              <w:right w:val="nil"/>
            </w:tcBorders>
            <w:shd w:val="clear" w:color="auto" w:fill="FFFFFF"/>
            <w:noWrap/>
            <w:vAlign w:val="center"/>
          </w:tcPr>
          <w:p w14:paraId="1EE2B2C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single" w:color="000000" w:sz="4" w:space="0"/>
              <w:left w:val="nil"/>
              <w:bottom w:val="nil"/>
              <w:right w:val="nil"/>
            </w:tcBorders>
            <w:shd w:val="clear" w:color="auto" w:fill="FFFFFF"/>
            <w:noWrap/>
            <w:vAlign w:val="center"/>
          </w:tcPr>
          <w:p w14:paraId="54DB3D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26.4</w:t>
            </w:r>
          </w:p>
        </w:tc>
        <w:tc>
          <w:tcPr>
            <w:tcW w:w="1074" w:type="dxa"/>
            <w:tcBorders>
              <w:top w:val="single" w:color="000000" w:sz="4" w:space="0"/>
              <w:left w:val="nil"/>
              <w:bottom w:val="nil"/>
              <w:right w:val="nil"/>
            </w:tcBorders>
            <w:shd w:val="clear" w:color="auto" w:fill="FFFFFF"/>
            <w:noWrap/>
            <w:vAlign w:val="center"/>
          </w:tcPr>
          <w:p w14:paraId="26F66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22.1</w:t>
            </w:r>
          </w:p>
        </w:tc>
        <w:tc>
          <w:tcPr>
            <w:tcW w:w="1550" w:type="dxa"/>
            <w:tcBorders>
              <w:top w:val="single" w:color="000000" w:sz="4" w:space="0"/>
              <w:left w:val="nil"/>
              <w:bottom w:val="nil"/>
              <w:right w:val="nil"/>
            </w:tcBorders>
            <w:shd w:val="clear" w:color="auto" w:fill="FFFFFF"/>
            <w:noWrap/>
            <w:vAlign w:val="center"/>
          </w:tcPr>
          <w:p w14:paraId="4014F0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0.556</w:t>
            </w:r>
          </w:p>
        </w:tc>
        <w:tc>
          <w:tcPr>
            <w:tcW w:w="1550" w:type="dxa"/>
            <w:tcBorders>
              <w:top w:val="single" w:color="000000" w:sz="4" w:space="0"/>
              <w:left w:val="nil"/>
              <w:bottom w:val="nil"/>
              <w:right w:val="nil"/>
            </w:tcBorders>
            <w:shd w:val="clear" w:color="auto" w:fill="FFFFFF"/>
            <w:noWrap/>
            <w:vAlign w:val="center"/>
          </w:tcPr>
          <w:p w14:paraId="24708C0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0.111</w:t>
            </w:r>
          </w:p>
        </w:tc>
        <w:tc>
          <w:tcPr>
            <w:tcW w:w="1360" w:type="dxa"/>
            <w:tcBorders>
              <w:top w:val="single" w:color="000000" w:sz="4" w:space="0"/>
              <w:left w:val="nil"/>
              <w:bottom w:val="nil"/>
              <w:right w:val="nil"/>
            </w:tcBorders>
            <w:shd w:val="clear" w:color="auto" w:fill="FFFFFF"/>
            <w:noWrap/>
            <w:vAlign w:val="center"/>
          </w:tcPr>
          <w:p w14:paraId="4608D2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0.333</w:t>
            </w:r>
          </w:p>
        </w:tc>
      </w:tr>
      <w:tr w14:paraId="69E1E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08E183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弯道路段</w:t>
            </w:r>
          </w:p>
        </w:tc>
        <w:tc>
          <w:tcPr>
            <w:tcW w:w="775" w:type="dxa"/>
            <w:tcBorders>
              <w:top w:val="nil"/>
              <w:left w:val="nil"/>
              <w:bottom w:val="nil"/>
              <w:right w:val="nil"/>
            </w:tcBorders>
            <w:shd w:val="clear" w:color="auto" w:fill="FFFFFF"/>
            <w:noWrap/>
            <w:vAlign w:val="center"/>
          </w:tcPr>
          <w:p w14:paraId="23872CD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16</w:t>
            </w:r>
          </w:p>
        </w:tc>
        <w:tc>
          <w:tcPr>
            <w:tcW w:w="913" w:type="dxa"/>
            <w:tcBorders>
              <w:top w:val="nil"/>
              <w:left w:val="nil"/>
              <w:bottom w:val="nil"/>
              <w:right w:val="nil"/>
            </w:tcBorders>
            <w:shd w:val="clear" w:color="auto" w:fill="FFFFFF"/>
            <w:noWrap/>
            <w:vAlign w:val="center"/>
          </w:tcPr>
          <w:p w14:paraId="1BE0B4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32.8</w:t>
            </w:r>
          </w:p>
        </w:tc>
        <w:tc>
          <w:tcPr>
            <w:tcW w:w="1074" w:type="dxa"/>
            <w:tcBorders>
              <w:top w:val="nil"/>
              <w:left w:val="nil"/>
              <w:bottom w:val="nil"/>
              <w:right w:val="nil"/>
            </w:tcBorders>
            <w:shd w:val="clear" w:color="auto" w:fill="FFFFFF"/>
            <w:noWrap/>
            <w:vAlign w:val="center"/>
          </w:tcPr>
          <w:p w14:paraId="5A2B31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26.3</w:t>
            </w:r>
          </w:p>
        </w:tc>
        <w:tc>
          <w:tcPr>
            <w:tcW w:w="1550" w:type="dxa"/>
            <w:tcBorders>
              <w:top w:val="nil"/>
              <w:left w:val="nil"/>
              <w:bottom w:val="nil"/>
              <w:right w:val="nil"/>
            </w:tcBorders>
            <w:shd w:val="clear" w:color="auto" w:fill="FFFFFF"/>
            <w:noWrap/>
            <w:vAlign w:val="center"/>
          </w:tcPr>
          <w:p w14:paraId="04EFE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0.625</w:t>
            </w:r>
          </w:p>
        </w:tc>
        <w:tc>
          <w:tcPr>
            <w:tcW w:w="1550" w:type="dxa"/>
            <w:tcBorders>
              <w:top w:val="nil"/>
              <w:left w:val="nil"/>
              <w:bottom w:val="nil"/>
              <w:right w:val="nil"/>
            </w:tcBorders>
            <w:shd w:val="clear" w:color="auto" w:fill="FFFFFF"/>
            <w:noWrap/>
            <w:vAlign w:val="center"/>
          </w:tcPr>
          <w:p w14:paraId="067A37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0.063</w:t>
            </w:r>
          </w:p>
        </w:tc>
        <w:tc>
          <w:tcPr>
            <w:tcW w:w="1360" w:type="dxa"/>
            <w:tcBorders>
              <w:top w:val="nil"/>
              <w:left w:val="nil"/>
              <w:bottom w:val="nil"/>
              <w:right w:val="nil"/>
            </w:tcBorders>
            <w:shd w:val="clear" w:color="auto" w:fill="FFFFFF"/>
            <w:noWrap/>
            <w:vAlign w:val="center"/>
          </w:tcPr>
          <w:p w14:paraId="272D1EC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0.312</w:t>
            </w:r>
          </w:p>
        </w:tc>
      </w:tr>
      <w:tr w14:paraId="33044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12070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坡道路段</w:t>
            </w:r>
          </w:p>
        </w:tc>
        <w:tc>
          <w:tcPr>
            <w:tcW w:w="775" w:type="dxa"/>
            <w:tcBorders>
              <w:top w:val="nil"/>
              <w:left w:val="nil"/>
              <w:bottom w:val="nil"/>
              <w:right w:val="nil"/>
            </w:tcBorders>
            <w:shd w:val="clear" w:color="auto" w:fill="FFFFFF"/>
            <w:noWrap/>
            <w:vAlign w:val="center"/>
          </w:tcPr>
          <w:p w14:paraId="38D0001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w:t>
            </w:r>
          </w:p>
        </w:tc>
        <w:tc>
          <w:tcPr>
            <w:tcW w:w="913" w:type="dxa"/>
            <w:tcBorders>
              <w:top w:val="nil"/>
              <w:left w:val="nil"/>
              <w:bottom w:val="nil"/>
              <w:right w:val="nil"/>
            </w:tcBorders>
            <w:shd w:val="clear" w:color="auto" w:fill="FFFFFF"/>
            <w:noWrap/>
            <w:vAlign w:val="center"/>
          </w:tcPr>
          <w:p w14:paraId="6EC837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-12.7</w:t>
            </w:r>
          </w:p>
        </w:tc>
        <w:tc>
          <w:tcPr>
            <w:tcW w:w="1074" w:type="dxa"/>
            <w:tcBorders>
              <w:top w:val="nil"/>
              <w:left w:val="nil"/>
              <w:bottom w:val="nil"/>
              <w:right w:val="nil"/>
            </w:tcBorders>
            <w:shd w:val="clear" w:color="auto" w:fill="FFFFFF"/>
            <w:noWrap/>
            <w:vAlign w:val="center"/>
          </w:tcPr>
          <w:p w14:paraId="3670FBB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24.5</w:t>
            </w:r>
          </w:p>
        </w:tc>
        <w:tc>
          <w:tcPr>
            <w:tcW w:w="1550" w:type="dxa"/>
            <w:tcBorders>
              <w:top w:val="nil"/>
              <w:left w:val="nil"/>
              <w:bottom w:val="nil"/>
              <w:right w:val="nil"/>
            </w:tcBorders>
            <w:shd w:val="clear" w:color="auto" w:fill="FFFFFF"/>
            <w:noWrap/>
            <w:vAlign w:val="center"/>
          </w:tcPr>
          <w:p w14:paraId="4F0084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0.143</w:t>
            </w:r>
          </w:p>
        </w:tc>
        <w:tc>
          <w:tcPr>
            <w:tcW w:w="1550" w:type="dxa"/>
            <w:tcBorders>
              <w:top w:val="nil"/>
              <w:left w:val="nil"/>
              <w:bottom w:val="nil"/>
              <w:right w:val="nil"/>
            </w:tcBorders>
            <w:shd w:val="clear" w:color="auto" w:fill="FFFFFF"/>
            <w:noWrap/>
            <w:vAlign w:val="center"/>
          </w:tcPr>
          <w:p w14:paraId="009CB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0.429</w:t>
            </w:r>
          </w:p>
        </w:tc>
        <w:tc>
          <w:tcPr>
            <w:tcW w:w="1360" w:type="dxa"/>
            <w:tcBorders>
              <w:top w:val="nil"/>
              <w:left w:val="nil"/>
              <w:bottom w:val="nil"/>
              <w:right w:val="nil"/>
            </w:tcBorders>
            <w:shd w:val="clear" w:color="auto" w:fill="FFFFFF"/>
            <w:noWrap/>
            <w:vAlign w:val="center"/>
          </w:tcPr>
          <w:p w14:paraId="433BB0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0.428</w:t>
            </w:r>
          </w:p>
        </w:tc>
      </w:tr>
      <w:tr w14:paraId="26460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3D3BC0C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建筑出入口</w:t>
            </w:r>
          </w:p>
        </w:tc>
        <w:tc>
          <w:tcPr>
            <w:tcW w:w="775" w:type="dxa"/>
            <w:tcBorders>
              <w:top w:val="nil"/>
              <w:left w:val="nil"/>
              <w:bottom w:val="nil"/>
              <w:right w:val="nil"/>
            </w:tcBorders>
            <w:shd w:val="clear" w:color="auto" w:fill="FFFFFF"/>
            <w:noWrap/>
            <w:vAlign w:val="center"/>
          </w:tcPr>
          <w:p w14:paraId="61BB0BDE">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w:t>
            </w:r>
          </w:p>
        </w:tc>
        <w:tc>
          <w:tcPr>
            <w:tcW w:w="913" w:type="dxa"/>
            <w:tcBorders>
              <w:top w:val="nil"/>
              <w:left w:val="nil"/>
              <w:bottom w:val="nil"/>
              <w:right w:val="nil"/>
            </w:tcBorders>
            <w:shd w:val="clear" w:color="auto" w:fill="FFFFFF"/>
            <w:noWrap/>
            <w:vAlign w:val="center"/>
          </w:tcPr>
          <w:p w14:paraId="41032E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-19.3</w:t>
            </w:r>
          </w:p>
        </w:tc>
        <w:tc>
          <w:tcPr>
            <w:tcW w:w="1074" w:type="dxa"/>
            <w:tcBorders>
              <w:top w:val="nil"/>
              <w:left w:val="nil"/>
              <w:bottom w:val="nil"/>
              <w:right w:val="nil"/>
            </w:tcBorders>
            <w:shd w:val="clear" w:color="auto" w:fill="FFFFFF"/>
            <w:noWrap/>
            <w:vAlign w:val="center"/>
          </w:tcPr>
          <w:p w14:paraId="6A92125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28.9</w:t>
            </w:r>
          </w:p>
        </w:tc>
        <w:tc>
          <w:tcPr>
            <w:tcW w:w="1550" w:type="dxa"/>
            <w:tcBorders>
              <w:top w:val="nil"/>
              <w:left w:val="nil"/>
              <w:bottom w:val="nil"/>
              <w:right w:val="nil"/>
            </w:tcBorders>
            <w:shd w:val="clear" w:color="auto" w:fill="FFFFFF"/>
            <w:noWrap/>
            <w:vAlign w:val="center"/>
          </w:tcPr>
          <w:p w14:paraId="281312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0.083</w:t>
            </w:r>
          </w:p>
        </w:tc>
        <w:tc>
          <w:tcPr>
            <w:tcW w:w="1550" w:type="dxa"/>
            <w:tcBorders>
              <w:top w:val="nil"/>
              <w:left w:val="nil"/>
              <w:bottom w:val="nil"/>
              <w:right w:val="nil"/>
            </w:tcBorders>
            <w:shd w:val="clear" w:color="auto" w:fill="FFFFFF"/>
            <w:noWrap/>
            <w:vAlign w:val="center"/>
          </w:tcPr>
          <w:p w14:paraId="025258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w:t>
            </w:r>
          </w:p>
        </w:tc>
        <w:tc>
          <w:tcPr>
            <w:tcW w:w="1360" w:type="dxa"/>
            <w:tcBorders>
              <w:top w:val="nil"/>
              <w:left w:val="nil"/>
              <w:bottom w:val="nil"/>
              <w:right w:val="nil"/>
            </w:tcBorders>
            <w:shd w:val="clear" w:color="auto" w:fill="FFFFFF"/>
            <w:noWrap/>
            <w:vAlign w:val="center"/>
          </w:tcPr>
          <w:p w14:paraId="66F6EB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0.417</w:t>
            </w:r>
          </w:p>
        </w:tc>
      </w:tr>
      <w:tr w14:paraId="7B63B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692984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广场边缘</w:t>
            </w:r>
          </w:p>
        </w:tc>
        <w:tc>
          <w:tcPr>
            <w:tcW w:w="775" w:type="dxa"/>
            <w:tcBorders>
              <w:top w:val="nil"/>
              <w:left w:val="nil"/>
              <w:bottom w:val="nil"/>
              <w:right w:val="nil"/>
            </w:tcBorders>
            <w:shd w:val="clear" w:color="auto" w:fill="FFFFFF"/>
            <w:noWrap/>
            <w:vAlign w:val="center"/>
          </w:tcPr>
          <w:p w14:paraId="21A4247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634D810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15.2</w:t>
            </w:r>
          </w:p>
        </w:tc>
        <w:tc>
          <w:tcPr>
            <w:tcW w:w="1074" w:type="dxa"/>
            <w:tcBorders>
              <w:top w:val="nil"/>
              <w:left w:val="nil"/>
              <w:bottom w:val="nil"/>
              <w:right w:val="nil"/>
            </w:tcBorders>
            <w:shd w:val="clear" w:color="auto" w:fill="FFFFFF"/>
            <w:noWrap/>
            <w:vAlign w:val="center"/>
          </w:tcPr>
          <w:p w14:paraId="40B196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27.4</w:t>
            </w:r>
          </w:p>
        </w:tc>
        <w:tc>
          <w:tcPr>
            <w:tcW w:w="1550" w:type="dxa"/>
            <w:tcBorders>
              <w:top w:val="nil"/>
              <w:left w:val="nil"/>
              <w:bottom w:val="nil"/>
              <w:right w:val="nil"/>
            </w:tcBorders>
            <w:shd w:val="clear" w:color="auto" w:fill="FFFFFF"/>
            <w:noWrap/>
            <w:vAlign w:val="center"/>
          </w:tcPr>
          <w:p w14:paraId="04380E2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0.389</w:t>
            </w:r>
          </w:p>
        </w:tc>
        <w:tc>
          <w:tcPr>
            <w:tcW w:w="1550" w:type="dxa"/>
            <w:tcBorders>
              <w:top w:val="nil"/>
              <w:left w:val="nil"/>
              <w:bottom w:val="nil"/>
              <w:right w:val="nil"/>
            </w:tcBorders>
            <w:shd w:val="clear" w:color="auto" w:fill="FFFFFF"/>
            <w:noWrap/>
            <w:vAlign w:val="center"/>
          </w:tcPr>
          <w:p w14:paraId="7550E6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360" w:type="dxa"/>
            <w:tcBorders>
              <w:top w:val="nil"/>
              <w:left w:val="nil"/>
              <w:bottom w:val="nil"/>
              <w:right w:val="nil"/>
            </w:tcBorders>
            <w:shd w:val="clear" w:color="auto" w:fill="FFFFFF"/>
            <w:noWrap/>
            <w:vAlign w:val="center"/>
          </w:tcPr>
          <w:p w14:paraId="0E3B9A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0.444</w:t>
            </w:r>
          </w:p>
        </w:tc>
      </w:tr>
      <w:tr w14:paraId="26B7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nil"/>
              <w:right w:val="nil"/>
            </w:tcBorders>
            <w:shd w:val="clear" w:color="auto" w:fill="FFFFFF"/>
            <w:noWrap/>
            <w:vAlign w:val="center"/>
          </w:tcPr>
          <w:p w14:paraId="4C59C77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直行路段</w:t>
            </w:r>
          </w:p>
        </w:tc>
        <w:tc>
          <w:tcPr>
            <w:tcW w:w="775" w:type="dxa"/>
            <w:tcBorders>
              <w:top w:val="nil"/>
              <w:left w:val="nil"/>
              <w:bottom w:val="nil"/>
              <w:right w:val="nil"/>
            </w:tcBorders>
            <w:shd w:val="clear" w:color="auto" w:fill="FFFFFF"/>
            <w:noWrap/>
            <w:vAlign w:val="center"/>
          </w:tcPr>
          <w:p w14:paraId="06B85A81">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18</w:t>
            </w:r>
          </w:p>
        </w:tc>
        <w:tc>
          <w:tcPr>
            <w:tcW w:w="913" w:type="dxa"/>
            <w:tcBorders>
              <w:top w:val="nil"/>
              <w:left w:val="nil"/>
              <w:bottom w:val="nil"/>
              <w:right w:val="nil"/>
            </w:tcBorders>
            <w:shd w:val="clear" w:color="auto" w:fill="FFFFFF"/>
            <w:noWrap/>
            <w:vAlign w:val="center"/>
          </w:tcPr>
          <w:p w14:paraId="05F6061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-3.6</w:t>
            </w:r>
          </w:p>
        </w:tc>
        <w:tc>
          <w:tcPr>
            <w:tcW w:w="1074" w:type="dxa"/>
            <w:tcBorders>
              <w:top w:val="nil"/>
              <w:left w:val="nil"/>
              <w:bottom w:val="nil"/>
              <w:right w:val="nil"/>
            </w:tcBorders>
            <w:shd w:val="clear" w:color="auto" w:fill="FFFFFF"/>
            <w:noWrap/>
            <w:vAlign w:val="center"/>
          </w:tcPr>
          <w:p w14:paraId="1A7CF60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19.8</w:t>
            </w:r>
          </w:p>
        </w:tc>
        <w:tc>
          <w:tcPr>
            <w:tcW w:w="1550" w:type="dxa"/>
            <w:tcBorders>
              <w:top w:val="nil"/>
              <w:left w:val="nil"/>
              <w:bottom w:val="nil"/>
              <w:right w:val="nil"/>
            </w:tcBorders>
            <w:shd w:val="clear" w:color="auto" w:fill="FFFFFF"/>
            <w:noWrap/>
            <w:vAlign w:val="center"/>
          </w:tcPr>
          <w:p w14:paraId="530E1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0.167</w:t>
            </w:r>
          </w:p>
        </w:tc>
        <w:tc>
          <w:tcPr>
            <w:tcW w:w="1550" w:type="dxa"/>
            <w:tcBorders>
              <w:top w:val="nil"/>
              <w:left w:val="nil"/>
              <w:bottom w:val="nil"/>
              <w:right w:val="nil"/>
            </w:tcBorders>
            <w:shd w:val="clear" w:color="auto" w:fill="FFFFFF"/>
            <w:noWrap/>
            <w:vAlign w:val="center"/>
          </w:tcPr>
          <w:p w14:paraId="617D3A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0.278</w:t>
            </w:r>
          </w:p>
        </w:tc>
        <w:tc>
          <w:tcPr>
            <w:tcW w:w="1360" w:type="dxa"/>
            <w:tcBorders>
              <w:top w:val="nil"/>
              <w:left w:val="nil"/>
              <w:bottom w:val="nil"/>
              <w:right w:val="nil"/>
            </w:tcBorders>
            <w:shd w:val="clear" w:color="auto" w:fill="FFFFFF"/>
            <w:noWrap/>
            <w:vAlign w:val="center"/>
          </w:tcPr>
          <w:p w14:paraId="2F8E57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0.555</w:t>
            </w:r>
          </w:p>
        </w:tc>
      </w:tr>
      <w:tr w14:paraId="6E6DA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1502" w:type="dxa"/>
            <w:tcBorders>
              <w:top w:val="nil"/>
              <w:left w:val="nil"/>
              <w:bottom w:val="single" w:color="000000" w:sz="4" w:space="0"/>
              <w:right w:val="nil"/>
            </w:tcBorders>
            <w:shd w:val="clear" w:color="auto" w:fill="FFFFFF"/>
            <w:noWrap/>
            <w:vAlign w:val="center"/>
          </w:tcPr>
          <w:p w14:paraId="52DD831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总体</w:t>
            </w:r>
          </w:p>
        </w:tc>
        <w:tc>
          <w:tcPr>
            <w:tcW w:w="775" w:type="dxa"/>
            <w:tcBorders>
              <w:top w:val="nil"/>
              <w:left w:val="nil"/>
              <w:bottom w:val="single" w:color="000000" w:sz="4" w:space="0"/>
              <w:right w:val="nil"/>
            </w:tcBorders>
            <w:shd w:val="clear" w:color="auto" w:fill="FFFFFF"/>
            <w:noWrap/>
            <w:vAlign w:val="center"/>
          </w:tcPr>
          <w:p w14:paraId="3C8C95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96</w:t>
            </w:r>
          </w:p>
        </w:tc>
        <w:tc>
          <w:tcPr>
            <w:tcW w:w="913" w:type="dxa"/>
            <w:tcBorders>
              <w:top w:val="nil"/>
              <w:left w:val="nil"/>
              <w:bottom w:val="single" w:color="000000" w:sz="4" w:space="0"/>
              <w:right w:val="nil"/>
            </w:tcBorders>
            <w:shd w:val="clear" w:color="auto" w:fill="FFFFFF"/>
            <w:noWrap/>
            <w:vAlign w:val="center"/>
          </w:tcPr>
          <w:p w14:paraId="2BF4556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8.3</w:t>
            </w:r>
          </w:p>
        </w:tc>
        <w:tc>
          <w:tcPr>
            <w:tcW w:w="1074" w:type="dxa"/>
            <w:tcBorders>
              <w:top w:val="nil"/>
              <w:left w:val="nil"/>
              <w:bottom w:val="single" w:color="000000" w:sz="4" w:space="0"/>
              <w:right w:val="nil"/>
            </w:tcBorders>
            <w:shd w:val="clear" w:color="auto" w:fill="FFFFFF"/>
            <w:noWrap/>
            <w:vAlign w:val="center"/>
          </w:tcPr>
          <w:p w14:paraId="61030AF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31.1</w:t>
            </w:r>
          </w:p>
        </w:tc>
        <w:tc>
          <w:tcPr>
            <w:tcW w:w="1550" w:type="dxa"/>
            <w:tcBorders>
              <w:top w:val="nil"/>
              <w:left w:val="nil"/>
              <w:bottom w:val="single" w:color="000000" w:sz="4" w:space="0"/>
              <w:right w:val="nil"/>
            </w:tcBorders>
            <w:shd w:val="clear" w:color="auto" w:fill="FFFFFF"/>
            <w:noWrap/>
            <w:vAlign w:val="center"/>
          </w:tcPr>
          <w:p w14:paraId="36E5F9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0.344</w:t>
            </w:r>
          </w:p>
        </w:tc>
        <w:tc>
          <w:tcPr>
            <w:tcW w:w="1550" w:type="dxa"/>
            <w:tcBorders>
              <w:top w:val="nil"/>
              <w:left w:val="nil"/>
              <w:bottom w:val="single" w:color="000000" w:sz="4" w:space="0"/>
              <w:right w:val="nil"/>
            </w:tcBorders>
            <w:shd w:val="clear" w:color="auto" w:fill="FFFFFF"/>
            <w:noWrap/>
            <w:vAlign w:val="center"/>
          </w:tcPr>
          <w:p w14:paraId="2C1E5F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0.240</w:t>
            </w:r>
          </w:p>
        </w:tc>
        <w:tc>
          <w:tcPr>
            <w:tcW w:w="1360" w:type="dxa"/>
            <w:tcBorders>
              <w:top w:val="nil"/>
              <w:left w:val="nil"/>
              <w:bottom w:val="single" w:color="000000" w:sz="4" w:space="0"/>
              <w:right w:val="nil"/>
            </w:tcBorders>
            <w:shd w:val="clear" w:color="auto" w:fill="FFFFFF"/>
            <w:noWrap/>
            <w:vAlign w:val="center"/>
          </w:tcPr>
          <w:p w14:paraId="4F02A6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 xml:space="preserve">0.417</w:t>
            </w:r>
          </w:p>
        </w:tc>
      </w:tr>
    </w:tbl>
    <w:p w14:paraId="352B098A">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p>
    <w:p w14:paraId="183209A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同时，基于深度访谈结果，</w:t>
      </w:r>
      <w:r>
        <w:rPr>
          <w:rFonts w:hint="default" w:ascii="Times New Roman" w:hAnsi="Times New Roman" w:cs="Times New Roman"/>
          <w:i w:val="0"/>
          <w:color w:val="000000"/>
          <w:sz w:val="24"/>
          <w:szCs w:val="24"/>
          <w:lang w:val="en-US" w:eastAsia="zh-CN"/>
        </w:rPr>
        <w:t>通过扎根理论的编码分析，本研究提炼出认知偏差形成的五大</w:t>
      </w:r>
      <w:r>
        <w:rPr>
          <w:rFonts w:hint="eastAsia" w:ascii="Times New Roman" w:hAnsi="Times New Roman" w:cs="Times New Roman"/>
          <w:i w:val="0"/>
          <w:color w:val="000000"/>
          <w:sz w:val="24"/>
          <w:szCs w:val="24"/>
          <w:lang w:val="en-US" w:eastAsia="zh-CN"/>
        </w:rPr>
        <w:t>主题</w:t>
      </w:r>
      <w:r>
        <w:rPr>
          <w:rFonts w:hint="default" w:ascii="Times New Roman" w:hAnsi="Times New Roman" w:cs="Times New Roman"/>
          <w:i w:val="0"/>
          <w:color w:val="000000"/>
          <w:sz w:val="24"/>
          <w:szCs w:val="24"/>
          <w:lang w:val="en-US" w:eastAsia="zh-CN"/>
        </w:rPr>
        <w:t>。</w:t>
      </w:r>
    </w:p>
    <w:p w14:paraId="1BE21EA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第一</w:t>
      </w:r>
      <w:r>
        <w:rPr>
          <w:rFonts w:hint="default" w:ascii="Times New Roman" w:hAnsi="Times New Roman" w:cs="Times New Roman"/>
          <w:i w:val="0"/>
          <w:color w:val="000000"/>
          <w:sz w:val="24"/>
          <w:szCs w:val="24"/>
          <w:lang w:val="en-US" w:eastAsia="zh-CN"/>
        </w:rPr>
        <w:t>，环境可读性不足是最主要的</w:t>
      </w:r>
      <w:r>
        <w:rPr>
          <w:rFonts w:hint="eastAsia" w:ascii="Times New Roman" w:hAnsi="Times New Roman" w:cs="Times New Roman"/>
          <w:i w:val="0"/>
          <w:color w:val="000000"/>
          <w:sz w:val="24"/>
          <w:szCs w:val="24"/>
          <w:lang w:val="en-US" w:eastAsia="zh-CN"/>
        </w:rPr>
        <w:t>内容</w:t>
      </w:r>
      <w:r>
        <w:rPr>
          <w:rFonts w:hint="default" w:ascii="Times New Roman" w:hAnsi="Times New Roman" w:cs="Times New Roman"/>
          <w:i w:val="0"/>
          <w:color w:val="000000"/>
          <w:sz w:val="24"/>
          <w:szCs w:val="24"/>
          <w:lang w:val="en-US" w:eastAsia="zh-CN"/>
        </w:rPr>
        <w:t>之一。</w:t>
      </w:r>
      <w:r>
        <w:rPr>
          <w:rFonts w:hint="eastAsia" w:ascii="Times New Roman" w:hAnsi="Times New Roman" w:cs="Times New Roman"/>
          <w:i w:val="0"/>
          <w:color w:val="000000"/>
          <w:sz w:val="24"/>
          <w:szCs w:val="24"/>
          <w:lang w:val="en-US" w:eastAsia="zh-CN"/>
        </w:rPr>
        <w:t>高校共享道路交通参与者</w:t>
      </w:r>
      <w:r>
        <w:rPr>
          <w:rFonts w:hint="default" w:ascii="Times New Roman" w:hAnsi="Times New Roman" w:cs="Times New Roman"/>
          <w:i w:val="0"/>
          <w:color w:val="000000"/>
          <w:sz w:val="24"/>
          <w:szCs w:val="24"/>
          <w:lang w:val="en-US" w:eastAsia="zh-CN"/>
        </w:rPr>
        <w:t>频繁表达“看不清楚”“不确定”等感受，体现了信息模糊性带来的安全判断困难。</w:t>
      </w:r>
      <w:r>
        <w:rPr>
          <w:rFonts w:hint="eastAsia" w:ascii="Times New Roman" w:hAnsi="Times New Roman" w:cs="Times New Roman"/>
          <w:i w:val="0"/>
          <w:color w:val="000000"/>
          <w:sz w:val="24"/>
          <w:szCs w:val="24"/>
          <w:lang w:val="en-US" w:eastAsia="zh-CN"/>
        </w:rPr>
        <w:t>此外，</w:t>
      </w:r>
      <w:r>
        <w:rPr>
          <w:rFonts w:hint="default" w:ascii="Times New Roman" w:hAnsi="Times New Roman" w:cs="Times New Roman"/>
          <w:i w:val="0"/>
          <w:color w:val="000000"/>
          <w:sz w:val="24"/>
          <w:szCs w:val="24"/>
          <w:lang w:val="en-US" w:eastAsia="zh-CN"/>
        </w:rPr>
        <w:t>路权边界不明确、标识缺失或难以理解、动态风险信息不足等因素，使个体不得不依赖经验或模仿他人行为，从而导致主观判断偏离客观风险。</w:t>
      </w:r>
    </w:p>
    <w:p w14:paraId="7FE5E4E1">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第二</w:t>
      </w:r>
      <w:r>
        <w:rPr>
          <w:rFonts w:hint="default" w:ascii="Times New Roman" w:hAnsi="Times New Roman" w:cs="Times New Roman"/>
          <w:i w:val="0"/>
          <w:color w:val="000000"/>
          <w:sz w:val="24"/>
          <w:szCs w:val="24"/>
          <w:lang w:val="en-US" w:eastAsia="zh-CN"/>
        </w:rPr>
        <w:t>，风险感知阈值偏移</w:t>
      </w:r>
      <w:r>
        <w:rPr>
          <w:rFonts w:hint="eastAsia" w:ascii="Times New Roman" w:hAnsi="Times New Roman" w:cs="Times New Roman"/>
          <w:i w:val="0"/>
          <w:color w:val="000000"/>
          <w:sz w:val="24"/>
          <w:szCs w:val="24"/>
          <w:lang w:val="en-US" w:eastAsia="zh-CN"/>
        </w:rPr>
        <w:t>。该主题</w:t>
      </w:r>
      <w:r>
        <w:rPr>
          <w:rFonts w:hint="default" w:ascii="Times New Roman" w:hAnsi="Times New Roman" w:cs="Times New Roman"/>
          <w:i w:val="0"/>
          <w:color w:val="000000"/>
          <w:sz w:val="24"/>
          <w:szCs w:val="24"/>
          <w:lang w:val="en-US" w:eastAsia="zh-CN"/>
        </w:rPr>
        <w:t>反映了个体在速度、距离与拥挤度判断上的主观差异。不同</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对“快”“近”“挤”等判断标准不一致，部分受性格、风险倾向、焦虑水平等个体因素影响，也受情境因素调节，例如赶时间会降低风险阈值，而放松状态则提高警觉性。</w:t>
      </w:r>
    </w:p>
    <w:p w14:paraId="143A177A">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第三，社会规范模糊与执行不力</w:t>
      </w:r>
      <w:r>
        <w:rPr>
          <w:rFonts w:hint="eastAsia" w:ascii="Times New Roman" w:hAnsi="Times New Roman" w:cs="Times New Roman"/>
          <w:i w:val="0"/>
          <w:color w:val="000000"/>
          <w:sz w:val="24"/>
          <w:szCs w:val="24"/>
          <w:lang w:val="en-US" w:eastAsia="zh-CN"/>
        </w:rPr>
        <w:t>。该主题可能源于</w:t>
      </w:r>
      <w:r>
        <w:rPr>
          <w:rFonts w:hint="default" w:ascii="Times New Roman" w:hAnsi="Times New Roman" w:cs="Times New Roman"/>
          <w:i w:val="0"/>
          <w:color w:val="000000"/>
          <w:sz w:val="24"/>
          <w:szCs w:val="24"/>
          <w:lang w:val="en-US" w:eastAsia="zh-CN"/>
        </w:rPr>
        <w:t>校园道路规则意识的整体弱化。由于管理方式偏软，规则缺乏明确传达，加之从众心理和违规无成本的环境，</w:t>
      </w:r>
      <w:r>
        <w:rPr>
          <w:rFonts w:hint="eastAsia" w:ascii="Times New Roman" w:hAnsi="Times New Roman" w:cs="Times New Roman"/>
          <w:i w:val="0"/>
          <w:color w:val="000000"/>
          <w:sz w:val="24"/>
          <w:szCs w:val="24"/>
          <w:lang w:val="en-US" w:eastAsia="zh-CN"/>
        </w:rPr>
        <w:t>校园共享道路交通参与者</w:t>
      </w:r>
      <w:r>
        <w:rPr>
          <w:rFonts w:hint="default" w:ascii="Times New Roman" w:hAnsi="Times New Roman" w:cs="Times New Roman"/>
          <w:i w:val="0"/>
          <w:color w:val="000000"/>
          <w:sz w:val="24"/>
          <w:szCs w:val="24"/>
          <w:lang w:val="en-US" w:eastAsia="zh-CN"/>
        </w:rPr>
        <w:t>往往依据个人风险感知而非制度规范进行行为决策，进一步加剧与客观安全之间的偏差。</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default" w:ascii="Times New Roman" w:hAnsi="Times New Roman" w:cs="Times New Roman"/>
          <w:i w:val="0"/>
          <w:color w:val="000000"/>
          <w:sz w:val="24"/>
          <w:szCs w:val="24"/>
          <w:lang w:val="en-US" w:eastAsia="zh-CN"/>
        </w:rPr>
        <w:t xml:space="preserve">第四，注意力资源分配失衡</w:t>
      </w:r>
      <w:r>
        <w:rPr>
          <w:rFonts w:hint="default" w:ascii="Times New Roman" w:hAnsi="Times New Roman" w:cs="Times New Roman"/>
          <w:i w:val="0"/>
          <w:color w:val="000000"/>
          <w:sz w:val="24"/>
          <w:szCs w:val="24"/>
          <w:lang w:val="en-US" w:eastAsia="zh-CN"/>
          <w:vertAlign w:val="superscript"/>
        </w:rPr>
        <w:t xml:space="preserve">[51]</w:t>
      </w:r>
      <w:r>
        <w:rPr>
          <w:rFonts w:hint="default" w:ascii="Times New Roman" w:hAnsi="Times New Roman" w:cs="Times New Roman"/>
          <w:i w:val="0"/>
          <w:color w:val="000000"/>
          <w:sz w:val="24"/>
          <w:szCs w:val="24"/>
          <w:lang w:val="en-US" w:eastAsia="zh-CN"/>
        </w:rPr>
        <w:t xml:space="preserve">。这一主题体现了多任务行为与环境干扰对风险探测的削弱作用。具体而言，边走边看手机、聊天等分心行为，以及复杂视觉景观带来的注意力转移，使校园共享道路交通参与者在关键时刻无法充分关注安全相关信息，导致潜在风险被忽略。</w:t>
      </w:r>
    </w:p>
    <w:p w14:paraId="14638CEB">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第五</w:t>
      </w:r>
      <w:r>
        <w:rPr>
          <w:rFonts w:hint="default" w:ascii="Times New Roman" w:hAnsi="Times New Roman" w:cs="Times New Roman"/>
          <w:i w:val="0"/>
          <w:color w:val="000000"/>
          <w:sz w:val="24"/>
          <w:szCs w:val="24"/>
          <w:lang w:val="en-US" w:eastAsia="zh-CN"/>
        </w:rPr>
        <w:t>，情感与动机因素</w:t>
      </w:r>
      <w:r>
        <w:rPr>
          <w:rFonts w:hint="eastAsia" w:ascii="Times New Roman" w:hAnsi="Times New Roman" w:cs="Times New Roman"/>
          <w:i w:val="0"/>
          <w:color w:val="000000"/>
          <w:sz w:val="24"/>
          <w:szCs w:val="24"/>
          <w:lang w:val="en-US" w:eastAsia="zh-CN"/>
        </w:rPr>
        <w:t>。该内容</w:t>
      </w:r>
      <w:r>
        <w:rPr>
          <w:rFonts w:hint="default" w:ascii="Times New Roman" w:hAnsi="Times New Roman" w:cs="Times New Roman"/>
          <w:i w:val="0"/>
          <w:color w:val="000000"/>
          <w:sz w:val="24"/>
          <w:szCs w:val="24"/>
          <w:lang w:val="en-US" w:eastAsia="zh-CN"/>
        </w:rPr>
        <w:t>表明情绪状态与动机压力对风险感知具有显著调节作用。时间紧迫、情绪波动、社交互动等都会影响个体的警觉水平：积极情绪可能降低对危险的敏感度，而负面情绪则提升警觉性；赶时间的动机则促使个体容忍更高的风险。</w:t>
      </w:r>
    </w:p>
    <w:p w14:paraId="7351D9C4">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高校共享道路交通安全客观指标对主观安全感知的影响</w:t>
      </w:r>
    </w:p>
    <w:p w14:paraId="17F70226">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为深入探究高校共享道路交通环境要素对交通冲突者安全认知的塑造机制，本研究以主观安全评分作为因变量，选取8个高校共享道路交通安全客观指标作为预测因子，开展逐步多元线性回归分析。选择主观评分而非认知偏差系数作为因变量，原因在于认知偏差系数本身已涵盖客观安全指数信息，若直接进行回归分析，将引发多重共线性问题。通过深入剖析高校共享道路交通安全客观指标对主观认知的影响，可识别出哪些要素受到使用者的高度重视，哪些要素相对被忽略，从而深入理解认知偏差的形成机理。最终构建的模型包含6个具有显著意义的预测因子，模型整体具有统计学显著性，F=26.48，p&lt;0.001，调整后R²=0.68，这表明该模型中的6个变量能够解释主观安全评分总变异的68%。</w:t>
      </w:r>
    </w:p>
    <w:p>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本研究的回归分析揭示了环境要素对主观安全感知的差异化影响（如表24所示），其中道路宽度是最强的正向预测因子（β=0.37），宽度每提升一个等级均可显著提高使用者的安全评分，说明充裕的通行与避让空间是安全感的核心来源。照明水平同样具有显著正向作用（β=0.34），良好的光环境不仅提升可见性，也强化了秩序感与共享交通环境被维护的印象。标识密度的正向影响（β=0.28）进一步表明，信息清晰度有助于减少共享交通环境的模糊性，从而增强行为确定性与心理安全感。空间分隔形式（β=0.22）也显著影响安全感，明确的路权边界降低了共享交通参与者对潜在冲突的预期，凸显秩序感在安全认知中的重要性。交通流量则是唯一的负向预测因子（β=-0.19），拥挤与混行情境增加决策压力和碰撞感知，从而显著削弱安全体验。此外，路面质量虽影响力较弱（β=0.16），但其作为基础设施状态的可见信号，能在一定程度上提升共享道路交通环境信任度。值得关注的是，视距条件未进入显著模型，表明使用者对视觉遮挡这一客观上的关键风险因素感知不足，这一认知缺口正是主客观偏差的重要来源。</w:t>
      </w:r>
    </w:p>
    <w:p w14:paraId="0954AB89">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表24 客观因素对主观安全感知的回归分析结果</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6"/>
        <w:gridCol w:w="917"/>
        <w:gridCol w:w="936"/>
        <w:gridCol w:w="819"/>
        <w:gridCol w:w="636"/>
        <w:gridCol w:w="892"/>
        <w:gridCol w:w="636"/>
      </w:tblGrid>
      <w:tr w14:paraId="1263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jc w:val="center"/>
        </w:trPr>
        <w:tc>
          <w:tcPr>
            <w:tcW w:w="0" w:type="auto"/>
            <w:tcBorders>
              <w:top w:val="single" w:color="000000" w:sz="4" w:space="0"/>
              <w:left w:val="nil"/>
              <w:bottom w:val="single" w:color="000000" w:sz="12" w:space="0"/>
              <w:right w:val="nil"/>
            </w:tcBorders>
            <w:shd w:val="clear" w:color="auto" w:fill="FFFFFF"/>
            <w:noWrap/>
            <w:vAlign w:val="center"/>
          </w:tcPr>
          <w:p w14:paraId="5431EFA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指标</w:t>
            </w:r>
          </w:p>
        </w:tc>
        <w:tc>
          <w:tcPr>
            <w:tcW w:w="0" w:type="auto"/>
            <w:tcBorders>
              <w:top w:val="single" w:color="000000" w:sz="4" w:space="0"/>
              <w:left w:val="nil"/>
              <w:bottom w:val="single" w:color="000000" w:sz="12" w:space="0"/>
              <w:right w:val="nil"/>
            </w:tcBorders>
            <w:shd w:val="clear" w:color="auto" w:fill="FFFFFF"/>
            <w:noWrap/>
            <w:vAlign w:val="center"/>
          </w:tcPr>
          <w:p w14:paraId="289DCC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B系数</w:t>
            </w:r>
          </w:p>
        </w:tc>
        <w:tc>
          <w:tcPr>
            <w:tcW w:w="0" w:type="auto"/>
            <w:tcBorders>
              <w:top w:val="single" w:color="000000" w:sz="4" w:space="0"/>
              <w:left w:val="nil"/>
              <w:bottom w:val="single" w:color="000000" w:sz="12" w:space="0"/>
              <w:right w:val="nil"/>
            </w:tcBorders>
            <w:shd w:val="clear" w:color="auto" w:fill="FFFFFF"/>
            <w:noWrap/>
            <w:vAlign w:val="center"/>
          </w:tcPr>
          <w:p w14:paraId="598FDCD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标准误</w:t>
            </w:r>
          </w:p>
        </w:tc>
        <w:tc>
          <w:tcPr>
            <w:tcW w:w="0" w:type="auto"/>
            <w:tcBorders>
              <w:top w:val="single" w:color="000000" w:sz="4" w:space="0"/>
              <w:left w:val="nil"/>
              <w:bottom w:val="single" w:color="000000" w:sz="12" w:space="0"/>
              <w:right w:val="nil"/>
            </w:tcBorders>
            <w:shd w:val="clear" w:color="auto" w:fill="FFFFFF"/>
            <w:noWrap/>
            <w:vAlign w:val="center"/>
          </w:tcPr>
          <w:p w14:paraId="746271F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β系数</w:t>
            </w:r>
          </w:p>
        </w:tc>
        <w:tc>
          <w:tcPr>
            <w:tcW w:w="0" w:type="auto"/>
            <w:tcBorders>
              <w:top w:val="single" w:color="000000" w:sz="4" w:space="0"/>
              <w:left w:val="nil"/>
              <w:bottom w:val="single" w:color="000000" w:sz="12" w:space="0"/>
              <w:right w:val="nil"/>
            </w:tcBorders>
            <w:shd w:val="clear" w:color="auto" w:fill="FFFFFF"/>
            <w:noWrap/>
            <w:vAlign w:val="center"/>
          </w:tcPr>
          <w:p w14:paraId="0A99DE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t值</w:t>
            </w:r>
          </w:p>
        </w:tc>
        <w:tc>
          <w:tcPr>
            <w:tcW w:w="0" w:type="auto"/>
            <w:tcBorders>
              <w:top w:val="single" w:color="000000" w:sz="4" w:space="0"/>
              <w:left w:val="nil"/>
              <w:bottom w:val="single" w:color="000000" w:sz="12" w:space="0"/>
              <w:right w:val="nil"/>
            </w:tcBorders>
            <w:shd w:val="clear" w:color="auto" w:fill="FFFFFF"/>
            <w:noWrap/>
            <w:vAlign w:val="center"/>
          </w:tcPr>
          <w:p w14:paraId="756AD91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p值</w:t>
            </w:r>
          </w:p>
        </w:tc>
        <w:tc>
          <w:tcPr>
            <w:tcW w:w="0" w:type="auto"/>
            <w:tcBorders>
              <w:top w:val="single" w:color="000000" w:sz="4" w:space="0"/>
              <w:left w:val="nil"/>
              <w:bottom w:val="single" w:color="000000" w:sz="12" w:space="0"/>
              <w:right w:val="nil"/>
            </w:tcBorders>
            <w:shd w:val="clear" w:color="auto" w:fill="FFFFFF"/>
            <w:noWrap/>
            <w:vAlign w:val="center"/>
          </w:tcPr>
          <w:p w14:paraId="75F83E3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VIF</w:t>
            </w:r>
          </w:p>
        </w:tc>
      </w:tr>
      <w:tr w14:paraId="68A2E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C828FB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道路宽度</w:t>
            </w:r>
          </w:p>
        </w:tc>
        <w:tc>
          <w:tcPr>
            <w:tcW w:w="0" w:type="auto"/>
            <w:tcBorders>
              <w:top w:val="nil"/>
              <w:left w:val="nil"/>
              <w:bottom w:val="nil"/>
              <w:right w:val="nil"/>
            </w:tcBorders>
            <w:shd w:val="clear" w:color="auto" w:fill="FFFFFF"/>
            <w:noWrap/>
            <w:vAlign w:val="center"/>
          </w:tcPr>
          <w:p w14:paraId="6CCC912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0.33</w:t>
            </w:r>
          </w:p>
        </w:tc>
        <w:tc>
          <w:tcPr>
            <w:tcW w:w="0" w:type="auto"/>
            <w:tcBorders>
              <w:top w:val="nil"/>
              <w:left w:val="nil"/>
              <w:bottom w:val="nil"/>
              <w:right w:val="nil"/>
            </w:tcBorders>
            <w:shd w:val="clear" w:color="auto" w:fill="FFFFFF"/>
            <w:noWrap/>
            <w:vAlign w:val="center"/>
          </w:tcPr>
          <w:p w14:paraId="57DFCF08">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3A0830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0.37</w:t>
            </w:r>
          </w:p>
        </w:tc>
        <w:tc>
          <w:tcPr>
            <w:tcW w:w="0" w:type="auto"/>
            <w:tcBorders>
              <w:top w:val="nil"/>
              <w:left w:val="nil"/>
              <w:bottom w:val="nil"/>
              <w:right w:val="nil"/>
            </w:tcBorders>
            <w:shd w:val="clear" w:color="auto" w:fill="FFFFFF"/>
            <w:noWrap/>
            <w:vAlign w:val="center"/>
          </w:tcPr>
          <w:p w14:paraId="5EEF06E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noWrap/>
            <w:vAlign w:val="center"/>
          </w:tcPr>
          <w:p w14:paraId="1619C45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08BCC37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1.38</w:t>
            </w:r>
          </w:p>
        </w:tc>
      </w:tr>
      <w:tr w14:paraId="4A45E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11643D1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照明水平</w:t>
            </w:r>
          </w:p>
        </w:tc>
        <w:tc>
          <w:tcPr>
            <w:tcW w:w="0" w:type="auto"/>
            <w:tcBorders>
              <w:top w:val="nil"/>
              <w:left w:val="nil"/>
              <w:bottom w:val="nil"/>
              <w:right w:val="nil"/>
            </w:tcBorders>
            <w:shd w:val="clear" w:color="auto" w:fill="FFFFFF"/>
            <w:noWrap/>
            <w:vAlign w:val="center"/>
          </w:tcPr>
          <w:p w14:paraId="54B09C4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0.29</w:t>
            </w:r>
          </w:p>
        </w:tc>
        <w:tc>
          <w:tcPr>
            <w:tcW w:w="0" w:type="auto"/>
            <w:tcBorders>
              <w:top w:val="nil"/>
              <w:left w:val="nil"/>
              <w:bottom w:val="nil"/>
              <w:right w:val="nil"/>
            </w:tcBorders>
            <w:shd w:val="clear" w:color="auto" w:fill="FFFFFF"/>
            <w:noWrap/>
            <w:vAlign w:val="center"/>
          </w:tcPr>
          <w:p w14:paraId="66CDF38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17505B02">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0.34</w:t>
            </w:r>
          </w:p>
        </w:tc>
        <w:tc>
          <w:tcPr>
            <w:tcW w:w="0" w:type="auto"/>
            <w:tcBorders>
              <w:top w:val="nil"/>
              <w:left w:val="nil"/>
              <w:bottom w:val="nil"/>
              <w:right w:val="nil"/>
            </w:tcBorders>
            <w:shd w:val="clear" w:color="auto" w:fill="FFFFFF"/>
            <w:noWrap/>
            <w:vAlign w:val="center"/>
          </w:tcPr>
          <w:p w14:paraId="681185F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5.8</w:t>
            </w:r>
          </w:p>
        </w:tc>
        <w:tc>
          <w:tcPr>
            <w:tcW w:w="0" w:type="auto"/>
            <w:tcBorders>
              <w:top w:val="nil"/>
              <w:left w:val="nil"/>
              <w:bottom w:val="nil"/>
              <w:right w:val="nil"/>
            </w:tcBorders>
            <w:shd w:val="clear" w:color="auto" w:fill="FFFFFF"/>
            <w:noWrap/>
            <w:vAlign w:val="center"/>
          </w:tcPr>
          <w:p w14:paraId="4061CEA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1436C71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1.25</w:t>
            </w:r>
          </w:p>
        </w:tc>
      </w:tr>
      <w:tr w14:paraId="38A66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4262BE2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标识密度</w:t>
            </w:r>
          </w:p>
        </w:tc>
        <w:tc>
          <w:tcPr>
            <w:tcW w:w="0" w:type="auto"/>
            <w:tcBorders>
              <w:top w:val="nil"/>
              <w:left w:val="nil"/>
              <w:bottom w:val="nil"/>
              <w:right w:val="nil"/>
            </w:tcBorders>
            <w:shd w:val="clear" w:color="auto" w:fill="FFFFFF"/>
            <w:noWrap/>
            <w:vAlign w:val="center"/>
          </w:tcPr>
          <w:p w14:paraId="4029F86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0.25</w:t>
            </w:r>
          </w:p>
        </w:tc>
        <w:tc>
          <w:tcPr>
            <w:tcW w:w="0" w:type="auto"/>
            <w:tcBorders>
              <w:top w:val="nil"/>
              <w:left w:val="nil"/>
              <w:bottom w:val="nil"/>
              <w:right w:val="nil"/>
            </w:tcBorders>
            <w:shd w:val="clear" w:color="auto" w:fill="FFFFFF"/>
            <w:noWrap/>
            <w:vAlign w:val="center"/>
          </w:tcPr>
          <w:p w14:paraId="36E463C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460C10E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noWrap/>
            <w:vAlign w:val="center"/>
          </w:tcPr>
          <w:p w14:paraId="3F9CC5B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5</w:t>
            </w:r>
          </w:p>
        </w:tc>
        <w:tc>
          <w:tcPr>
            <w:tcW w:w="0" w:type="auto"/>
            <w:tcBorders>
              <w:top w:val="nil"/>
              <w:left w:val="nil"/>
              <w:bottom w:val="nil"/>
              <w:right w:val="nil"/>
            </w:tcBorders>
            <w:shd w:val="clear" w:color="auto" w:fill="FFFFFF"/>
            <w:noWrap/>
            <w:vAlign w:val="center"/>
          </w:tcPr>
          <w:p w14:paraId="4C31087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&lt;0.001</w:t>
            </w:r>
          </w:p>
        </w:tc>
        <w:tc>
          <w:tcPr>
            <w:tcW w:w="0" w:type="auto"/>
            <w:tcBorders>
              <w:top w:val="nil"/>
              <w:left w:val="nil"/>
              <w:bottom w:val="nil"/>
              <w:right w:val="nil"/>
            </w:tcBorders>
            <w:shd w:val="clear" w:color="auto" w:fill="FFFFFF"/>
            <w:noWrap/>
            <w:vAlign w:val="center"/>
          </w:tcPr>
          <w:p w14:paraId="5ECDAC2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1.32</w:t>
            </w:r>
          </w:p>
        </w:tc>
      </w:tr>
      <w:tr w14:paraId="362B8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047507C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分隔形式</w:t>
            </w:r>
          </w:p>
        </w:tc>
        <w:tc>
          <w:tcPr>
            <w:tcW w:w="0" w:type="auto"/>
            <w:tcBorders>
              <w:top w:val="nil"/>
              <w:left w:val="nil"/>
              <w:bottom w:val="nil"/>
              <w:right w:val="nil"/>
            </w:tcBorders>
            <w:shd w:val="clear" w:color="auto" w:fill="FFFFFF"/>
            <w:noWrap/>
            <w:vAlign w:val="center"/>
          </w:tcPr>
          <w:p w14:paraId="33B4C12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w:t>
            </w:r>
          </w:p>
        </w:tc>
        <w:tc>
          <w:tcPr>
            <w:tcW w:w="0" w:type="auto"/>
            <w:tcBorders>
              <w:top w:val="nil"/>
              <w:left w:val="nil"/>
              <w:bottom w:val="nil"/>
              <w:right w:val="nil"/>
            </w:tcBorders>
            <w:shd w:val="clear" w:color="auto" w:fill="FFFFFF"/>
            <w:noWrap/>
            <w:vAlign w:val="center"/>
          </w:tcPr>
          <w:p w14:paraId="19B51AF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0.06</w:t>
            </w:r>
          </w:p>
        </w:tc>
        <w:tc>
          <w:tcPr>
            <w:tcW w:w="0" w:type="auto"/>
            <w:tcBorders>
              <w:top w:val="nil"/>
              <w:left w:val="nil"/>
              <w:bottom w:val="nil"/>
              <w:right w:val="nil"/>
            </w:tcBorders>
            <w:shd w:val="clear" w:color="auto" w:fill="FFFFFF"/>
            <w:noWrap/>
            <w:vAlign w:val="center"/>
          </w:tcPr>
          <w:p w14:paraId="4963B2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0.22</w:t>
            </w:r>
          </w:p>
        </w:tc>
        <w:tc>
          <w:tcPr>
            <w:tcW w:w="0" w:type="auto"/>
            <w:tcBorders>
              <w:top w:val="nil"/>
              <w:left w:val="nil"/>
              <w:bottom w:val="nil"/>
              <w:right w:val="nil"/>
            </w:tcBorders>
            <w:shd w:val="clear" w:color="auto" w:fill="FFFFFF"/>
            <w:noWrap/>
            <w:vAlign w:val="center"/>
          </w:tcPr>
          <w:p w14:paraId="77922487">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3.33</w:t>
            </w:r>
          </w:p>
        </w:tc>
        <w:tc>
          <w:tcPr>
            <w:tcW w:w="0" w:type="auto"/>
            <w:tcBorders>
              <w:top w:val="nil"/>
              <w:left w:val="nil"/>
              <w:bottom w:val="nil"/>
              <w:right w:val="nil"/>
            </w:tcBorders>
            <w:shd w:val="clear" w:color="auto" w:fill="FFFFFF"/>
            <w:noWrap/>
            <w:vAlign w:val="center"/>
          </w:tcPr>
          <w:p w14:paraId="238471B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4ACBC353">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1.48</w:t>
            </w:r>
          </w:p>
        </w:tc>
      </w:tr>
      <w:tr w14:paraId="11D27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nil"/>
              <w:right w:val="nil"/>
            </w:tcBorders>
            <w:shd w:val="clear" w:color="auto" w:fill="FFFFFF"/>
            <w:noWrap/>
            <w:vAlign w:val="center"/>
          </w:tcPr>
          <w:p w14:paraId="3071C7B9">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交通流量</w:t>
            </w:r>
          </w:p>
        </w:tc>
        <w:tc>
          <w:tcPr>
            <w:tcW w:w="0" w:type="auto"/>
            <w:tcBorders>
              <w:top w:val="nil"/>
              <w:left w:val="nil"/>
              <w:bottom w:val="nil"/>
              <w:right w:val="nil"/>
            </w:tcBorders>
            <w:shd w:val="clear" w:color="auto" w:fill="FFFFFF"/>
            <w:noWrap/>
            <w:vAlign w:val="center"/>
          </w:tcPr>
          <w:p w14:paraId="6C119F8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-0.17</w:t>
            </w:r>
          </w:p>
        </w:tc>
        <w:tc>
          <w:tcPr>
            <w:tcW w:w="0" w:type="auto"/>
            <w:tcBorders>
              <w:top w:val="nil"/>
              <w:left w:val="nil"/>
              <w:bottom w:val="nil"/>
              <w:right w:val="nil"/>
            </w:tcBorders>
            <w:shd w:val="clear" w:color="auto" w:fill="FFFFFF"/>
            <w:noWrap/>
            <w:vAlign w:val="center"/>
          </w:tcPr>
          <w:p w14:paraId="6CA044F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nil"/>
              <w:right w:val="nil"/>
            </w:tcBorders>
            <w:shd w:val="clear" w:color="auto" w:fill="FFFFFF"/>
            <w:noWrap/>
            <w:vAlign w:val="center"/>
          </w:tcPr>
          <w:p w14:paraId="7D3CE28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-0.19</w:t>
            </w:r>
          </w:p>
        </w:tc>
        <w:tc>
          <w:tcPr>
            <w:tcW w:w="0" w:type="auto"/>
            <w:tcBorders>
              <w:top w:val="nil"/>
              <w:left w:val="nil"/>
              <w:bottom w:val="nil"/>
              <w:right w:val="nil"/>
            </w:tcBorders>
            <w:shd w:val="clear" w:color="auto" w:fill="FFFFFF"/>
            <w:noWrap/>
            <w:vAlign w:val="center"/>
          </w:tcPr>
          <w:p w14:paraId="0BA788CB">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-3.4</w:t>
            </w:r>
          </w:p>
        </w:tc>
        <w:tc>
          <w:tcPr>
            <w:tcW w:w="0" w:type="auto"/>
            <w:tcBorders>
              <w:top w:val="nil"/>
              <w:left w:val="nil"/>
              <w:bottom w:val="nil"/>
              <w:right w:val="nil"/>
            </w:tcBorders>
            <w:shd w:val="clear" w:color="auto" w:fill="FFFFFF"/>
            <w:noWrap/>
            <w:vAlign w:val="center"/>
          </w:tcPr>
          <w:p w14:paraId="04DC0535">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0.001</w:t>
            </w:r>
          </w:p>
        </w:tc>
        <w:tc>
          <w:tcPr>
            <w:tcW w:w="0" w:type="auto"/>
            <w:tcBorders>
              <w:top w:val="nil"/>
              <w:left w:val="nil"/>
              <w:bottom w:val="nil"/>
              <w:right w:val="nil"/>
            </w:tcBorders>
            <w:shd w:val="clear" w:color="auto" w:fill="FFFFFF"/>
            <w:noWrap/>
            <w:vAlign w:val="center"/>
          </w:tcPr>
          <w:p w14:paraId="1F58CBB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1.55</w:t>
            </w:r>
          </w:p>
        </w:tc>
      </w:tr>
      <w:tr w14:paraId="145B24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0" w:type="auto"/>
            <w:tcBorders>
              <w:top w:val="nil"/>
              <w:left w:val="nil"/>
              <w:bottom w:val="single" w:color="000000" w:sz="4" w:space="0"/>
              <w:right w:val="nil"/>
            </w:tcBorders>
            <w:shd w:val="clear" w:color="auto" w:fill="FFFFFF"/>
            <w:noWrap/>
            <w:vAlign w:val="center"/>
          </w:tcPr>
          <w:p w14:paraId="43A961E6">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路面质量</w:t>
            </w:r>
          </w:p>
        </w:tc>
        <w:tc>
          <w:tcPr>
            <w:tcW w:w="0" w:type="auto"/>
            <w:tcBorders>
              <w:top w:val="nil"/>
              <w:left w:val="nil"/>
              <w:bottom w:val="single" w:color="000000" w:sz="4" w:space="0"/>
              <w:right w:val="nil"/>
            </w:tcBorders>
            <w:shd w:val="clear" w:color="auto" w:fill="FFFFFF"/>
            <w:noWrap/>
            <w:vAlign w:val="center"/>
          </w:tcPr>
          <w:p w14:paraId="791C3224">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single" w:color="000000" w:sz="4" w:space="0"/>
              <w:right w:val="nil"/>
            </w:tcBorders>
            <w:shd w:val="clear" w:color="auto" w:fill="FFFFFF"/>
            <w:noWrap/>
            <w:vAlign w:val="center"/>
          </w:tcPr>
          <w:p w14:paraId="65AF58CF">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0.05</w:t>
            </w:r>
          </w:p>
        </w:tc>
        <w:tc>
          <w:tcPr>
            <w:tcW w:w="0" w:type="auto"/>
            <w:tcBorders>
              <w:top w:val="nil"/>
              <w:left w:val="nil"/>
              <w:bottom w:val="single" w:color="000000" w:sz="4" w:space="0"/>
              <w:right w:val="nil"/>
            </w:tcBorders>
            <w:shd w:val="clear" w:color="auto" w:fill="FFFFFF"/>
            <w:noWrap/>
            <w:vAlign w:val="center"/>
          </w:tcPr>
          <w:p w14:paraId="1516A990">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0.16</w:t>
            </w:r>
          </w:p>
        </w:tc>
        <w:tc>
          <w:tcPr>
            <w:tcW w:w="0" w:type="auto"/>
            <w:tcBorders>
              <w:top w:val="nil"/>
              <w:left w:val="nil"/>
              <w:bottom w:val="single" w:color="000000" w:sz="4" w:space="0"/>
              <w:right w:val="nil"/>
            </w:tcBorders>
            <w:shd w:val="clear" w:color="auto" w:fill="FFFFFF"/>
            <w:noWrap/>
            <w:vAlign w:val="center"/>
          </w:tcPr>
          <w:p w14:paraId="3C794D4A">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2.8</w:t>
            </w:r>
          </w:p>
        </w:tc>
        <w:tc>
          <w:tcPr>
            <w:tcW w:w="0" w:type="auto"/>
            <w:tcBorders>
              <w:top w:val="nil"/>
              <w:left w:val="nil"/>
              <w:bottom w:val="single" w:color="000000" w:sz="4" w:space="0"/>
              <w:right w:val="nil"/>
            </w:tcBorders>
            <w:shd w:val="clear" w:color="auto" w:fill="FFFFFF"/>
            <w:noWrap/>
            <w:vAlign w:val="center"/>
          </w:tcPr>
          <w:p w14:paraId="3BDA74CC">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0.007</w:t>
            </w:r>
          </w:p>
        </w:tc>
        <w:tc>
          <w:tcPr>
            <w:tcW w:w="0" w:type="auto"/>
            <w:tcBorders>
              <w:top w:val="nil"/>
              <w:left w:val="nil"/>
              <w:bottom w:val="single" w:color="000000" w:sz="4" w:space="0"/>
              <w:right w:val="nil"/>
            </w:tcBorders>
            <w:shd w:val="clear" w:color="auto" w:fill="FFFFFF"/>
            <w:noWrap/>
            <w:vAlign w:val="center"/>
          </w:tcPr>
          <w:p w14:paraId="4D5CEEDD">
            <w:pPr>
              <w:keepNext w:val="0"/>
              <w:keepLines w:val="0"/>
              <w:widowControl/>
              <w:suppressLineNumbers w:val="0"/>
              <w:jc w:val="center"/>
              <w:rPr>
                <w:rFonts w:hint="default" w:ascii="Times New Roman" w:hAnsi="Times New Roman" w:eastAsia="宋体" w:cs="Times New Roman"/>
                <w:b w:val="0"/>
                <w:color w:val="000000"/>
                <w:kern w:val="0"/>
                <w:sz w:val="24"/>
                <w:szCs w:val="24"/>
                <w:lang w:val="en-US" w:eastAsia="zh-CN" w:bidi="ar"/>
              </w:rPr>
            </w:pPr>
            <w:r>
              <w:rPr>
                <w:rFonts w:hint="default" w:ascii="Times New Roman" w:hAnsi="Times New Roman" w:eastAsia="宋体" w:cs="Times New Roman"/>
                <w:b w:val="0"/>
                <w:color w:val="000000"/>
                <w:kern w:val="0"/>
                <w:sz w:val="24"/>
                <w:szCs w:val="24"/>
                <w:lang w:val="en-US" w:eastAsia="zh-CN" w:bidi="ar"/>
              </w:rPr>
              <w:t>1.35</w:t>
            </w:r>
          </w:p>
        </w:tc>
      </w:tr>
    </w:tbl>
    <w:p w14:paraId="71E6AF9F">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注：视距条件和景观复杂度未进入</w:t>
      </w:r>
      <w:r>
        <w:rPr>
          <w:rFonts w:hint="default" w:ascii="Times New Roman" w:hAnsi="Times New Roman" w:cs="Times New Roman"/>
          <w:lang w:val="en-US" w:eastAsia="zh-CN"/>
        </w:rPr>
        <w:t>统计表格</w:t>
      </w:r>
      <w:r>
        <w:rPr>
          <w:rFonts w:hint="eastAsia" w:ascii="Times New Roman" w:hAnsi="Times New Roman" w:cs="Times New Roman"/>
          <w:lang w:val="en-US" w:eastAsia="zh-CN"/>
        </w:rPr>
        <w:t>（</w:t>
      </w:r>
      <w:r>
        <w:rPr>
          <w:rFonts w:hint="default" w:ascii="Times New Roman" w:hAnsi="Times New Roman" w:eastAsia="宋体" w:cs="Times New Roman"/>
          <w:lang w:eastAsia="zh-CN"/>
        </w:rPr>
        <w:t>p&gt;0.05</w:t>
      </w:r>
      <w:r>
        <w:rPr>
          <w:rFonts w:hint="eastAsia" w:ascii="Times New Roman" w:hAnsi="Times New Roman" w:cs="Times New Roman"/>
          <w:lang w:eastAsia="zh-CN"/>
        </w:rPr>
        <w:t>）</w:t>
      </w:r>
    </w:p>
    <w:p w14:paraId="005E8773">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5A6C3EC9">
      <w:pPr>
        <w:pStyle w:val="4"/>
        <w:numPr>
          <w:ilvl w:val="0"/>
          <w:numId w:val="4"/>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基于深度访谈与参与式设计工作坊的安全引导系统需求产出</w:t>
      </w: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同时，在30名深度访谈对象与16名未重复参与工作坊的成员（合计46人）中，受试者普遍对现有标识系统提出了批评，反映了五个主要问题。第一，信息密度不足是最突出的问题，78.3%的受访者认为关键位置缺乏必要提示，尤其是在高风险与视线受限区域，正如一位参与者所言：“很多危险的地方什么提示都没有，全靠自己小心”。第二，可见性欠佳，65.2%的受访者指出标识在特定光照条件下难以识别，夜间尤为明显；一名参与者提到：“晚上很多标识都看不清，走到跟前才发现”。第三，信息理解困难，52.2%的受访者表示部分标识含义模糊，需要额外努力才能解读，如“有些图案不知道什么意思，要猜半天”。第四，标识设置位置不合理，47.8%的参与者指出标识往往不在视觉习惯的关注范围内，或被遮挡，例如：“标志在很高的地方，或者藏在树后面，不容易看到”。第五，43.5%的受访者认为标识缺乏连贯性，未形成系统化的引导结构，一位参与者直言：“东一个西一个，没有连续的指引，还是会迷糊”。整体来看，以上反馈显示出当前共享道路交通安全引导系统在信息量、可视性、可理解性、布局合理性与系统性方面均存在明显不足。综合深度访谈及参与式设计工作坊的结果，本研究将面向高校共享道路的交通参与者安全引导系统需求进行了整合和总结，如表25所示。</w:t>
      </w:r>
    </w:p>
    <w:p w14:paraId="60915B7D">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表25 面向高校共享道路参与者的安全引导系统需求清单</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4C3D6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896" w:type="dxa"/>
            <w:tcBorders>
              <w:top w:val="single" w:color="000000" w:sz="4" w:space="0"/>
              <w:left w:val="nil"/>
              <w:bottom w:val="single" w:color="000000" w:sz="12" w:space="0"/>
              <w:right w:val="nil"/>
            </w:tcBorders>
            <w:shd w:val="clear" w:color="auto" w:fill="FFFFFF"/>
            <w:noWrap/>
            <w:vAlign w:val="center"/>
          </w:tcPr>
          <w:p w14:paraId="21816BE5">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需求维度</w:t>
            </w:r>
          </w:p>
        </w:tc>
        <w:tc>
          <w:tcPr>
            <w:tcW w:w="3696" w:type="dxa"/>
            <w:tcBorders>
              <w:top w:val="single" w:color="000000" w:sz="4" w:space="0"/>
              <w:left w:val="nil"/>
              <w:bottom w:val="single" w:color="000000" w:sz="12" w:space="0"/>
              <w:right w:val="nil"/>
            </w:tcBorders>
            <w:shd w:val="clear" w:color="auto" w:fill="FFFFFF"/>
            <w:noWrap/>
            <w:vAlign w:val="center"/>
          </w:tcPr>
          <w:p w14:paraId="75FFF54C">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具体设计要素</w:t>
            </w:r>
          </w:p>
        </w:tc>
      </w:tr>
      <w:tr w14:paraId="5F07D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12" w:space="0"/>
              <w:left w:val="nil"/>
              <w:bottom w:val="single" w:color="000000" w:sz="4" w:space="0"/>
              <w:right w:val="nil"/>
            </w:tcBorders>
            <w:shd w:val="clear" w:color="auto" w:fill="FFFFFF"/>
            <w:noWrap/>
            <w:vAlign w:val="center"/>
          </w:tcPr>
          <w:p w14:paraId="01BF204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空间路权界定</w:t>
            </w:r>
          </w:p>
        </w:tc>
        <w:tc>
          <w:tcPr>
            <w:tcW w:w="3696" w:type="dxa"/>
            <w:tcBorders>
              <w:top w:val="single" w:color="000000" w:sz="12" w:space="0"/>
              <w:left w:val="nil"/>
              <w:bottom w:val="nil"/>
              <w:right w:val="nil"/>
              <w:tl2br w:val="nil"/>
            </w:tcBorders>
            <w:shd w:val="clear" w:color="auto" w:fill="FFFFFF"/>
            <w:noWrap/>
            <w:vAlign w:val="center"/>
          </w:tcPr>
          <w:p w14:paraId="1C4281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1.1色彩编码的通行区域划分</w:t>
            </w:r>
          </w:p>
        </w:tc>
      </w:tr>
      <w:tr w14:paraId="519676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3E3E827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8E542E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1.2地面纹理差异的触觉反馈</w:t>
            </w:r>
          </w:p>
        </w:tc>
      </w:tr>
      <w:tr w14:paraId="5462D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C8A14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6DE42B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1.3交叉口冲突区域的醒目标注</w:t>
            </w:r>
          </w:p>
        </w:tc>
      </w:tr>
      <w:tr w14:paraId="4F51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3204B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3320C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1.4渐变式过渡区设计</w:t>
            </w:r>
          </w:p>
        </w:tc>
      </w:tr>
    </w:tbl>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 xml:space="preserve">表25 面向高校共享道路参与者的安全引导系统需求清单（续）</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96"/>
        <w:gridCol w:w="3696"/>
      </w:tblGrid>
      <w:tr w14:paraId="28A64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7DCC7C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风险信息显性化</w:t>
            </w:r>
          </w:p>
        </w:tc>
        <w:tc>
          <w:tcPr>
            <w:tcW w:w="3696" w:type="dxa"/>
            <w:tcBorders>
              <w:top w:val="single" w:color="000000" w:sz="4" w:space="0"/>
              <w:left w:val="nil"/>
              <w:bottom w:val="nil"/>
              <w:right w:val="nil"/>
              <w:tl2br w:val="nil"/>
            </w:tcBorders>
            <w:shd w:val="clear" w:color="auto" w:fill="FFFFFF"/>
            <w:noWrap/>
            <w:vAlign w:val="center"/>
          </w:tcPr>
          <w:p w14:paraId="7E0FEC9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2.1盲区提示标识（镜面/投影）</w:t>
            </w:r>
          </w:p>
        </w:tc>
      </w:tr>
      <w:tr w14:paraId="43D93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E49385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AD17B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2.2速度差异警示系统</w:t>
            </w:r>
          </w:p>
        </w:tc>
      </w:tr>
      <w:tr w14:paraId="1D693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CBBB21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2D587E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2.3动态交通流量显示</w:t>
            </w:r>
          </w:p>
        </w:tc>
      </w:tr>
      <w:tr w14:paraId="7583C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12ED69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7DAB8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2.4光环境条件下的风险等级提示</w:t>
            </w:r>
          </w:p>
        </w:tc>
      </w:tr>
      <w:tr w14:paraId="2F6B5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6E14B8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14876CD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2.5天气条件适应性标识</w:t>
            </w:r>
          </w:p>
        </w:tc>
      </w:tr>
      <w:tr w14:paraId="752CC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1797A6E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行为引导与规范</w:t>
            </w:r>
          </w:p>
        </w:tc>
        <w:tc>
          <w:tcPr>
            <w:tcW w:w="3696" w:type="dxa"/>
            <w:tcBorders>
              <w:top w:val="single" w:color="000000" w:sz="4" w:space="0"/>
              <w:left w:val="nil"/>
              <w:bottom w:val="nil"/>
              <w:right w:val="nil"/>
              <w:tl2br w:val="nil"/>
            </w:tcBorders>
            <w:shd w:val="clear" w:color="auto" w:fill="FFFFFF"/>
            <w:noWrap/>
            <w:vAlign w:val="center"/>
          </w:tcPr>
          <w:p w14:paraId="7C435E2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3.1推荐速度的视觉暗示</w:t>
            </w:r>
          </w:p>
        </w:tc>
      </w:tr>
      <w:tr w14:paraId="7E64C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53F887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53B252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3.2安全通行路径的连续标识</w:t>
            </w:r>
          </w:p>
        </w:tc>
      </w:tr>
      <w:tr w14:paraId="0A3D7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31C06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2CF3D43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3.3礼让行为的社会规范可视化</w:t>
            </w:r>
          </w:p>
        </w:tc>
      </w:tr>
      <w:tr w14:paraId="006FC6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69AC26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631925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3.4友善的违规提醒（非惩罚性）</w:t>
            </w:r>
          </w:p>
        </w:tc>
      </w:tr>
      <w:tr w14:paraId="69C5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4C216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56AEF9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3.5行为示范的符号化呈现</w:t>
            </w:r>
          </w:p>
        </w:tc>
      </w:tr>
      <w:tr w14:paraId="5FE23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08E5C1C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信息可达性优化</w:t>
            </w:r>
          </w:p>
        </w:tc>
        <w:tc>
          <w:tcPr>
            <w:tcW w:w="3696" w:type="dxa"/>
            <w:tcBorders>
              <w:top w:val="single" w:color="000000" w:sz="4" w:space="0"/>
              <w:left w:val="nil"/>
              <w:bottom w:val="nil"/>
              <w:right w:val="nil"/>
              <w:tl2br w:val="nil"/>
            </w:tcBorders>
            <w:shd w:val="clear" w:color="auto" w:fill="FFFFFF"/>
            <w:noWrap/>
            <w:vAlign w:val="center"/>
          </w:tcPr>
          <w:p w14:paraId="3DAE9E2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4.1反光材料与主动发光结合</w:t>
            </w:r>
          </w:p>
        </w:tc>
      </w:tr>
      <w:tr w14:paraId="6100D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149E6A4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181FEE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4.2标识高度适配视线习惯</w:t>
            </w:r>
          </w:p>
        </w:tc>
      </w:tr>
      <w:tr w14:paraId="1A023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7AD9D4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56A7CE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4.3分层信息架构（3秒法则）</w:t>
            </w:r>
          </w:p>
        </w:tc>
      </w:tr>
      <w:tr w14:paraId="185C8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28529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72FFBC1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4.4听觉信号的辅助提示</w:t>
            </w:r>
          </w:p>
        </w:tc>
      </w:tr>
      <w:tr w14:paraId="6B051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DA31A1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06A72E6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4.5图形化信息替代文字</w:t>
            </w:r>
          </w:p>
        </w:tc>
      </w:tr>
      <w:tr w14:paraId="3B14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restart"/>
            <w:tcBorders>
              <w:top w:val="single" w:color="000000" w:sz="4" w:space="0"/>
              <w:left w:val="nil"/>
              <w:bottom w:val="single" w:color="000000" w:sz="4" w:space="0"/>
              <w:right w:val="nil"/>
            </w:tcBorders>
            <w:shd w:val="clear" w:color="auto" w:fill="FFFFFF"/>
            <w:noWrap/>
            <w:vAlign w:val="center"/>
          </w:tcPr>
          <w:p w14:paraId="47AD15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环境舒适性提升</w:t>
            </w:r>
          </w:p>
        </w:tc>
        <w:tc>
          <w:tcPr>
            <w:tcW w:w="3696" w:type="dxa"/>
            <w:tcBorders>
              <w:top w:val="single" w:color="000000" w:sz="4" w:space="0"/>
              <w:left w:val="nil"/>
              <w:bottom w:val="nil"/>
              <w:right w:val="nil"/>
              <w:tl2br w:val="nil"/>
            </w:tcBorders>
            <w:shd w:val="clear" w:color="auto" w:fill="FFFFFF"/>
            <w:noWrap/>
            <w:vAlign w:val="center"/>
          </w:tcPr>
          <w:p w14:paraId="711F9E9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5.1视觉一致性与美学协调</w:t>
            </w:r>
          </w:p>
        </w:tc>
      </w:tr>
      <w:tr w14:paraId="07F31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381BB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44AB544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5.2标识与景观的融合设计</w:t>
            </w:r>
          </w:p>
        </w:tc>
      </w:tr>
      <w:tr w14:paraId="0A08CC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0163EA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nil"/>
              <w:right w:val="nil"/>
            </w:tcBorders>
            <w:shd w:val="clear" w:color="auto" w:fill="FFFFFF"/>
            <w:noWrap/>
            <w:vAlign w:val="center"/>
          </w:tcPr>
          <w:p w14:paraId="6C948A7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5.3社会监督可见性（透明度提升）</w:t>
            </w:r>
          </w:p>
        </w:tc>
      </w:tr>
      <w:tr w14:paraId="368E1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jc w:val="center"/>
        </w:trPr>
        <w:tc>
          <w:tcPr>
            <w:tcW w:w="1896" w:type="dxa"/>
            <w:vMerge w:val="continue"/>
            <w:tcBorders>
              <w:top w:val="single" w:color="000000" w:sz="4" w:space="0"/>
              <w:left w:val="nil"/>
              <w:bottom w:val="single" w:color="000000" w:sz="4" w:space="0"/>
              <w:right w:val="nil"/>
            </w:tcBorders>
            <w:shd w:val="clear" w:color="auto" w:fill="FFFFFF"/>
            <w:noWrap/>
            <w:vAlign w:val="center"/>
          </w:tcPr>
          <w:p w14:paraId="299CB8F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3696" w:type="dxa"/>
            <w:tcBorders>
              <w:top w:val="nil"/>
              <w:left w:val="nil"/>
              <w:bottom w:val="single" w:color="000000" w:sz="4" w:space="0"/>
              <w:right w:val="nil"/>
            </w:tcBorders>
            <w:shd w:val="clear" w:color="auto" w:fill="FFFFFF"/>
            <w:noWrap/>
            <w:vAlign w:val="center"/>
          </w:tcPr>
          <w:p w14:paraId="30C384C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5.4情感化设计元素</w:t>
            </w:r>
          </w:p>
        </w:tc>
      </w:tr>
    </w:tbl>
    <w:p w14:paraId="7E9C8B95">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pPr>
        <w:pStyle w:val="4"/>
        <w:numPr>
          <w:ilvl w:val="0"/>
          <w:numId w:val="0"/>
        </w:numPr>
        <w:ind w:firstLine="480" w:firstLineChars="200"/>
        <w:jc w:val="both"/>
        <w:rPr>
          <w:rFonts w:hint="eastAsia"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t xml:space="preserve">此外，为确定安全引导系统需求的优先级，本研究采用重要度-满意度分析（Importance-Performance Analysis,IPA）</w:t>
      </w:r>
      <w:r>
        <w:rPr>
          <w:rFonts w:hint="eastAsia" w:ascii="Times New Roman" w:hAnsi="Times New Roman" w:cs="Times New Roman"/>
          <w:i w:val="0"/>
          <w:color w:val="000000"/>
          <w:sz w:val="24"/>
          <w:szCs w:val="24"/>
          <w:lang w:val="en-US" w:eastAsia="zh-CN"/>
          <w:vertAlign w:val="superscript"/>
        </w:rPr>
        <w:t xml:space="preserve">[73]</w:t>
      </w:r>
      <w:r>
        <w:rPr>
          <w:rFonts w:hint="eastAsia" w:ascii="Times New Roman" w:hAnsi="Times New Roman" w:cs="Times New Roman"/>
          <w:i w:val="0"/>
          <w:color w:val="000000"/>
          <w:sz w:val="24"/>
          <w:szCs w:val="24"/>
          <w:lang w:val="en-US" w:eastAsia="zh-CN"/>
        </w:rPr>
        <w:t xml:space="preserve">。首先，将前期问卷开放题、深度访谈与参与式设计工作坊综合提炼的23项具体要素作为评价指标。随后，从既有访谈与工作坊参与者中招募20名代表性使用者，请其对每一要素分别从“重要度”和“满意度”两个维度进行评分，均采用1-5分李克特量表（1表示不重要/很不满意，5表示非常重要/很满意）。在此基础上，计算各要素的重要度均值与满意度均值，并以全体要素的重要度均值和满意度均值为分界线构建IPA二维坐标，将23个要素映射至四个象限：高重要-高满意、高重要-低满意、低重要-低满意及低重要-高满意。其中，落入“高重要-低满意”象限的要素被界定为优先改进对象，并结合参与式工作坊的点投票结果与专家评议，最终确定盲区提示标识、速度差异警示、推荐速度暗示、安全路径连续标识与夜间可见性保障等若干核心优先需求。另外，Kano模型分析进一步将校园共享道路中安全引导系统的要素划分为三类需求</w:t>
      </w:r>
      <w:r>
        <w:rPr>
          <w:rFonts w:hint="eastAsia" w:ascii="Times New Roman" w:hAnsi="Times New Roman" w:cs="Times New Roman"/>
          <w:i w:val="0"/>
          <w:color w:val="000000"/>
          <w:sz w:val="24"/>
          <w:szCs w:val="24"/>
          <w:lang w:val="en-US" w:eastAsia="zh-CN"/>
          <w:vertAlign w:val="superscript"/>
        </w:rPr>
        <w:t xml:space="preserve">[74]</w:t>
      </w:r>
      <w:r>
        <w:rPr>
          <w:rFonts w:hint="eastAsia" w:ascii="Times New Roman" w:hAnsi="Times New Roman" w:cs="Times New Roman"/>
          <w:i w:val="0"/>
          <w:color w:val="000000"/>
          <w:sz w:val="24"/>
          <w:szCs w:val="24"/>
          <w:lang w:val="en-US" w:eastAsia="zh-CN"/>
        </w:rPr>
        <w:t xml:space="preserve">（如图8所示）。首先，基本需求包括清晰的路权划分、交叉口冲突标注、夜间可见性保障以及标识适配性。其次，期望需求涵盖盲区提示、速度警示、推荐速度提示、标识适配性、安全路径指引和分层信息呈现。此类要素呈线性效应，实现程度越高，满意度提升越明显。最后，兴奋需求包括动态流量显示、社会规范可视化、听觉辅助提示、情感化设计元素以及景观融合设计。以上功能超出使用者的基本预期，具备提升体验与带来惊喜的潜力，但其缺失并不会引发不满。</w:t>
      </w:r>
    </w:p>
    <w:p w14:paraId="1B95E797">
      <w:pPr>
        <w:pStyle w:val="4"/>
        <w:numPr>
          <w:ilvl w:val="0"/>
          <w:numId w:val="0"/>
        </w:numPr>
        <w:ind w:firstLine="480" w:firstLineChars="200"/>
        <w:jc w:val="both"/>
        <w:rPr>
          <w:rFonts w:hint="default" w:ascii="Times New Roman" w:hAnsi="Times New Roman" w:cs="Times New Roman"/>
          <w:i w:val="0"/>
          <w:color w:val="000000"/>
          <w:sz w:val="24"/>
          <w:szCs w:val="24"/>
          <w:lang w:val="en-US" w:eastAsia="zh-CN"/>
        </w:rPr>
      </w:pPr>
    </w:p>
    <w:p w14:paraId="2AF556E8">
      <w:pPr>
        <w:pStyle w:val="4"/>
        <w:numPr>
          <w:ilvl w:val="0"/>
          <w:numId w:val="0"/>
        </w:numPr>
        <w:ind w:firstLine="480" w:firstLineChars="200"/>
        <w:jc w:val="center"/>
        <w:rPr>
          <w:rFonts w:hint="default" w:ascii="Times New Roman" w:hAnsi="Times New Roman" w:cs="Times New Roman"/>
          <w:i w:val="0"/>
          <w:color w:val="000000"/>
          <w:sz w:val="24"/>
          <w:szCs w:val="24"/>
          <w:lang w:val="en-US" w:eastAsia="zh-CN"/>
        </w:rPr>
      </w:pPr>
      <w:r>
        <w:rPr>
          <w:rFonts w:hint="eastAsia" w:ascii="Times New Roman" w:hAnsi="Times New Roman" w:cs="Times New Roman"/>
          <w:i w:val="0"/>
          <w:color w:val="000000"/>
          <w:sz w:val="24"/>
          <w:szCs w:val="24"/>
          <w:lang w:val="en-US" w:eastAsia="zh-CN"/>
        </w:rPr>
        <w:drawing>
          <wp:anchor distT="0" distB="0" distL="114300" distR="114300" simplePos="0" relativeHeight="251662336" behindDoc="0" locked="0" layoutInCell="1" allowOverlap="1">
            <wp:simplePos x="0" y="0"/>
            <wp:positionH relativeFrom="column">
              <wp:posOffset>319405</wp:posOffset>
            </wp:positionH>
            <wp:positionV relativeFrom="paragraph">
              <wp:posOffset>130810</wp:posOffset>
            </wp:positionV>
            <wp:extent cx="4769485" cy="2183765"/>
            <wp:effectExtent l="0" t="0" r="635" b="10795"/>
            <wp:wrapTopAndBottom/>
            <wp:docPr id="7" name="图片 7" descr="2025市社科联KANO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025市社科联KANO插图"/>
                    <pic:cNvPicPr>
                      <a:picLocks noChangeAspect="1"/>
                    </pic:cNvPicPr>
                  </pic:nvPicPr>
                  <pic:blipFill>
                    <a:blip r:embed="rId14"/>
                    <a:srcRect l="2859" t="6441" r="3100" b="6489"/>
                    <a:stretch>
                      <a:fillRect/>
                    </a:stretch>
                  </pic:blipFill>
                  <pic:spPr>
                    <a:xfrm>
                      <a:off x="0" y="0"/>
                      <a:ext cx="4769485" cy="2183765"/>
                    </a:xfrm>
                    <a:prstGeom prst="rect">
                      <a:avLst/>
                    </a:prstGeom>
                  </pic:spPr>
                </pic:pic>
              </a:graphicData>
            </a:graphic>
          </wp:anchor>
        </w:drawing>
      </w:r>
      <w:r>
        <w:rPr>
          <w:rFonts w:hint="eastAsia" w:ascii="Times New Roman" w:hAnsi="Times New Roman" w:cs="Times New Roman"/>
          <w:lang w:val="en-US" w:eastAsia="zh-CN"/>
        </w:rPr>
        <w:t>图8 高校共享道路安全引导系统需求清单</w:t>
      </w:r>
    </w:p>
    <w:p w14:paraId="6CDD4D2F">
      <w:pPr>
        <w:pStyle w:val="4"/>
        <w:numPr>
          <w:ilvl w:val="0"/>
          <w:numId w:val="0"/>
        </w:numPr>
        <w:ind w:firstLine="480" w:firstLineChars="200"/>
        <w:jc w:val="both"/>
        <w:rPr>
          <w:rFonts w:hint="default" w:ascii="Times New Roman" w:hAnsi="Times New Roman" w:eastAsia="宋体" w:cs="Times New Roman"/>
          <w:lang w:eastAsia="zh-CN"/>
        </w:rPr>
      </w:pPr>
    </w:p>
    <w:p w14:paraId="08A5768D">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高校共享道路安全引导策略生成与验证</w:t>
      </w:r>
    </w:p>
    <w:p w14:paraId="769C5B28">
      <w:pPr>
        <w:pStyle w:val="4"/>
        <w:jc w:val="both"/>
        <w:rPr>
          <w:rFonts w:hint="default" w:ascii="Times New Roman" w:hAnsi="Times New Roman" w:cs="Times New Roman"/>
        </w:rPr>
      </w:pPr>
      <w:r>
        <w:rPr>
          <w:rFonts w:hint="default" w:ascii="Times New Roman" w:hAnsi="Times New Roman" w:cs="Times New Roman"/>
        </w:rPr>
        <w:t>本研究</w:t>
      </w:r>
      <w:r>
        <w:rPr>
          <w:rFonts w:hint="eastAsia" w:ascii="Times New Roman" w:hAnsi="Times New Roman" w:cs="Times New Roman"/>
          <w:lang w:eastAsia="zh-CN"/>
        </w:rPr>
        <w:t>旨在</w:t>
      </w:r>
      <w:r>
        <w:rPr>
          <w:rFonts w:hint="default" w:ascii="Times New Roman" w:hAnsi="Times New Roman" w:cs="Times New Roman"/>
        </w:rPr>
        <w:t>开发一套</w:t>
      </w:r>
      <w:r>
        <w:rPr>
          <w:rFonts w:hint="eastAsia" w:ascii="Times New Roman" w:hAnsi="Times New Roman" w:cs="Times New Roman"/>
          <w:lang w:val="en-US" w:eastAsia="zh-CN"/>
        </w:rPr>
        <w:t>面向高校共享交通主要参与者的安全</w:t>
      </w:r>
      <w:r>
        <w:rPr>
          <w:rFonts w:hint="default" w:ascii="Times New Roman" w:hAnsi="Times New Roman" w:cs="Times New Roman"/>
        </w:rPr>
        <w:t>引导系统原型，以期通过设计介入的方式，有效改善校园共享道路中</w:t>
      </w:r>
      <w:r>
        <w:rPr>
          <w:rFonts w:hint="eastAsia" w:ascii="Times New Roman" w:hAnsi="Times New Roman" w:cs="Times New Roman"/>
          <w:lang w:val="en-US" w:eastAsia="zh-CN"/>
        </w:rPr>
        <w:t>行人与骑行者</w:t>
      </w:r>
      <w:r>
        <w:rPr>
          <w:rFonts w:hint="default" w:ascii="Times New Roman" w:hAnsi="Times New Roman" w:cs="Times New Roman"/>
        </w:rPr>
        <w:t>的空间感知能力，引导其形成规范的通行行为，最终实现</w:t>
      </w:r>
      <w:r>
        <w:rPr>
          <w:rFonts w:hint="eastAsia" w:ascii="Times New Roman" w:hAnsi="Times New Roman" w:cs="Times New Roman"/>
          <w:lang w:val="en-US" w:eastAsia="zh-CN"/>
        </w:rPr>
        <w:t>共享道路情境下</w:t>
      </w:r>
      <w:r>
        <w:rPr>
          <w:rFonts w:hint="default" w:ascii="Times New Roman" w:hAnsi="Times New Roman" w:cs="Times New Roman"/>
        </w:rPr>
        <w:t>交通安全水平的整体提升。该系统通过道路标识、标线设计、色彩编码、动态信息提示等多维度视觉元素的协同作用，为行人和骑行者提供清晰、直观</w:t>
      </w:r>
      <w:r>
        <w:rPr>
          <w:rFonts w:hint="eastAsia" w:ascii="Times New Roman" w:hAnsi="Times New Roman" w:cs="Times New Roman"/>
          <w:lang w:eastAsia="zh-CN"/>
        </w:rPr>
        <w:t>地</w:t>
      </w:r>
      <w:r>
        <w:rPr>
          <w:rFonts w:hint="eastAsia" w:ascii="Times New Roman" w:hAnsi="Times New Roman" w:cs="Times New Roman"/>
          <w:lang w:val="en-US" w:eastAsia="zh-CN"/>
        </w:rPr>
        <w:t>共享道路安全引导</w:t>
      </w:r>
      <w:r>
        <w:rPr>
          <w:rFonts w:hint="default" w:ascii="Times New Roman" w:hAnsi="Times New Roman" w:cs="Times New Roman"/>
        </w:rPr>
        <w:t>信息。</w:t>
      </w:r>
      <w:r>
        <w:rPr>
          <w:rFonts w:hint="eastAsia" w:ascii="Times New Roman" w:hAnsi="Times New Roman" w:cs="Times New Roman"/>
          <w:lang w:val="en-US" w:eastAsia="zh-CN"/>
        </w:rPr>
        <w:t>本</w:t>
      </w:r>
      <w:r>
        <w:rPr>
          <w:rFonts w:hint="default" w:ascii="Times New Roman" w:hAnsi="Times New Roman" w:cs="Times New Roman"/>
        </w:rPr>
        <w:t>研究特别关注视觉设计元素如何影响使用者的认知加工过程，以及如何通过设计干预促进不同交通参与者之间形成良性的互动关系。</w:t>
      </w:r>
      <w:r>
        <w:rPr>
          <w:rFonts w:hint="eastAsia" w:ascii="Times New Roman" w:hAnsi="Times New Roman" w:cs="Times New Roman"/>
          <w:lang w:val="en-US" w:eastAsia="zh-CN"/>
        </w:rPr>
        <w:t>此外，本研究还</w:t>
      </w:r>
      <w:r>
        <w:rPr>
          <w:rFonts w:hint="default" w:ascii="Times New Roman" w:hAnsi="Times New Roman" w:cs="Times New Roman"/>
        </w:rPr>
        <w:t>将形成一套基于可用性测试和安全性评估的设计验证方法体系，为后续的设计优化和推广应用提供科学依据。</w:t>
      </w:r>
    </w:p>
    <w:p w14:paraId="25A25A76">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.1校园共享道路安全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w:t>
      </w:r>
      <w:r>
        <w:rPr>
          <w:rFonts w:hint="eastAsia" w:ascii="黑体" w:hAnsi="黑体" w:eastAsia="黑体"/>
          <w:b w:val="0"/>
          <w:bCs w:val="0"/>
          <w:sz w:val="30"/>
          <w:szCs w:val="30"/>
          <w:lang w:val="en-US" w:eastAsia="zh-CN"/>
        </w:rPr>
        <w:t>研究方法</w:t>
      </w:r>
    </w:p>
    <w:p>
      <w:pPr>
        <w:pStyle w:val="4"/>
        <w:spacing w:before="120" w:after="120" w:line="360" w:lineRule="auto"/>
        <w:ind w:firstLine="480"/>
        <w:jc w:val="both"/>
        <w:rPr>
          <w:rFonts w:hint="default" w:ascii="Times New Roman" w:hAnsi="Times New Roman" w:cs="Times New Roman"/>
          <w:lang w:val="en-US" w:eastAsia="zh-CN"/>
        </w:rPr>
      </w:pPr>
      <w:r>
        <w:rPr>
          <w:rFonts w:ascii="Times New Roman" w:hAnsi="Times New Roman" w:eastAsia="宋体" w:cs="Times New Roman"/>
          <w:color w:val="000000"/>
          <w:sz w:val="24"/>
          <w:szCs w:val="24"/>
        </w:rPr>
        <w:t xml:space="preserve">本研究遵循“特征识别-模型构建-需求识别-策略生成”的迭代式设计研究范式，综合运用多种研究方法以确保研究的科学性和系统性。研究方法体系的构建基于设计学的“双钻模型”（Double Diamond Model）</w:t>
      </w:r>
      <w:r>
        <w:rPr>
          <w:rFonts w:ascii="Times New Roman" w:hAnsi="Times New Roman" w:eastAsia="宋体" w:cs="Times New Roman"/>
          <w:color w:val="000000"/>
          <w:sz w:val="24"/>
          <w:szCs w:val="24"/>
          <w:vertAlign w:val="superscript"/>
        </w:rPr>
        <w:t xml:space="preserve">[75]</w:t>
      </w:r>
      <w:r>
        <w:rPr>
          <w:rFonts w:ascii="Times New Roman" w:hAnsi="Times New Roman" w:eastAsia="宋体" w:cs="Times New Roman"/>
          <w:color w:val="000000"/>
          <w:sz w:val="24"/>
          <w:szCs w:val="24"/>
        </w:rPr>
        <w:t xml:space="preserve">，通过发散与收敛的循环过程，逐步明确设计问题、探索解决方案并验证设计效果。</w:t>
      </w:r>
    </w:p>
    <w:p>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基于前期研究获得的高校校园共享道路下共享交通主要参与者对安全引导系统的需求清单，本研究采用亲和图法和层次分析法对需求进行结构化分析。通过建立“需求-功能-形式”的映射关系</w:t>
      </w:r>
      <w:r>
        <w:rPr>
          <w:rFonts w:hint="default" w:ascii="Times New Roman" w:hAnsi="Times New Roman" w:eastAsia="宋体" w:cs="Times New Roman"/>
          <w:color w:val="000000"/>
          <w:sz w:val="24"/>
          <w:szCs w:val="24"/>
          <w:lang w:val="en-US" w:eastAsia="zh-CN"/>
          <w:vertAlign w:val="superscript"/>
        </w:rPr>
        <w:t xml:space="preserve">[46,76]</w:t>
      </w:r>
      <w:r>
        <w:rPr>
          <w:rFonts w:hint="default" w:ascii="Times New Roman" w:hAnsi="Times New Roman" w:eastAsia="宋体" w:cs="Times New Roman"/>
          <w:color w:val="000000"/>
          <w:sz w:val="24"/>
          <w:szCs w:val="24"/>
          <w:lang w:val="en-US" w:eastAsia="zh-CN"/>
        </w:rPr>
        <w:t xml:space="preserve">，将抽象的用户需求转化为具体的安全引导设计策略。在设计策略生成阶段，采用形态分析法（Morphological Analysis）系统梳理视觉引导系统的设计维度，包括信息层级、视觉编码、空间布局、时间序列等，通过构建设计策略矩阵，明确不同场景下的设计重点和实施路径。</w:t>
      </w:r>
    </w:p>
    <w:p w14:paraId="7F73DF9E">
      <w:pPr>
        <w:pStyle w:val="4"/>
        <w:spacing w:before="120" w:after="120" w:line="360" w:lineRule="auto"/>
        <w:ind w:firstLine="480"/>
        <w:jc w:val="both"/>
        <w:rPr>
          <w:rFonts w:hint="eastAsia"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此外，在概念设计阶段，本研究采纳了参与式设计方法，邀请了包括交通工程专家、视觉设计师、校园管理者以及师生代表在内的多元利益相关者参与设计工作坊。通过运用头脑风暴、情景构建、角色扮演等创意生成技术，成功地产生了多样化的设计概念。为了筛选出满足</w:t>
      </w:r>
      <w:r>
        <w:rPr>
          <w:rFonts w:hint="eastAsia" w:ascii="Times New Roman" w:hAnsi="Times New Roman" w:cs="Times New Roman"/>
          <w:color w:val="000000"/>
          <w:sz w:val="24"/>
          <w:szCs w:val="24"/>
          <w:lang w:val="en-US" w:eastAsia="zh-CN"/>
        </w:rPr>
        <w:t>高校共享道路参与者</w:t>
      </w:r>
      <w:r>
        <w:rPr>
          <w:rFonts w:ascii="Times New Roman" w:hAnsi="Times New Roman" w:eastAsia="宋体" w:cs="Times New Roman"/>
          <w:color w:val="000000"/>
          <w:sz w:val="24"/>
          <w:szCs w:val="24"/>
        </w:rPr>
        <w:t>需求的</w:t>
      </w:r>
      <w:r>
        <w:rPr>
          <w:rFonts w:hint="eastAsia" w:ascii="Times New Roman" w:hAnsi="Times New Roman" w:cs="Times New Roman"/>
          <w:color w:val="000000"/>
          <w:sz w:val="24"/>
          <w:szCs w:val="24"/>
          <w:lang w:val="en-US" w:eastAsia="zh-CN"/>
        </w:rPr>
        <w:t>方案</w:t>
      </w:r>
      <w:r>
        <w:rPr>
          <w:rFonts w:ascii="Times New Roman" w:hAnsi="Times New Roman" w:eastAsia="宋体" w:cs="Times New Roman"/>
          <w:color w:val="000000"/>
          <w:sz w:val="24"/>
          <w:szCs w:val="24"/>
        </w:rPr>
        <w:t>，本研究在方案评选过程中采用了德尔菲法，并结合模糊综合评价方法，构建了一个包含功能性、美观性、可实施性、成本效益等维度的评价指标体系。通过专家打分和权重计算，对候选方案进行了综合排序。</w:t>
      </w:r>
    </w:p>
    <w:p w14:paraId="33B7E078">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进一步地，本研究在开发校园共享道路安全</w:t>
      </w:r>
      <w:r>
        <w:rPr>
          <w:rFonts w:hint="eastAsia" w:ascii="Times New Roman" w:hAnsi="Times New Roman" w:cs="Times New Roman"/>
          <w:color w:val="000000"/>
          <w:sz w:val="24"/>
          <w:szCs w:val="24"/>
          <w:lang w:val="en-US" w:eastAsia="zh-CN"/>
        </w:rPr>
        <w:t>引导</w:t>
      </w:r>
      <w:r>
        <w:rPr>
          <w:rFonts w:ascii="Times New Roman" w:hAnsi="Times New Roman" w:eastAsia="宋体" w:cs="Times New Roman"/>
          <w:color w:val="000000"/>
          <w:sz w:val="24"/>
          <w:szCs w:val="24"/>
        </w:rPr>
        <w:t>系统设计原型时，采用了迭代原型法，实现了从低保真度草图原型向中保真度数字原型的逐步演进。在此过程中，运用了3DMax、SketchUp等三维建模软件构建空间模型，并借助Adobe Photoshop进行视觉设计。在进行可用性测试时，本研究基于系统可用性量表框架，并结合任务分析法与出声思维法（Think Aloud）进行，以确保设计原型的科学性与有效性。</w:t>
      </w:r>
    </w:p>
    <w:p w14:paraId="1F3152CE">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最终，本研究采用基于人工智能的场景模拟技术进行安全性评估。利用Stable Diffusion、Midjourney等先进的人工智能图像生成工具，构建了在不同光照、天气和交通流量条件下的场景图像。</w:t>
      </w:r>
      <w:r>
        <w:rPr>
          <w:rFonts w:hint="eastAsia" w:ascii="Times New Roman" w:hAnsi="Times New Roman" w:cs="Times New Roman"/>
          <w:color w:val="000000"/>
          <w:sz w:val="24"/>
          <w:szCs w:val="24"/>
          <w:lang w:val="en-US" w:eastAsia="zh-CN"/>
        </w:rPr>
        <w:t>此外</w:t>
      </w:r>
      <w:r>
        <w:rPr>
          <w:rFonts w:ascii="Times New Roman" w:hAnsi="Times New Roman" w:eastAsia="宋体" w:cs="Times New Roman"/>
          <w:color w:val="000000"/>
          <w:sz w:val="24"/>
          <w:szCs w:val="24"/>
        </w:rPr>
        <w:t>，通过应用自行车服务水平模型以及感知使用者舒适度评估模型，对设计方案进行了定量分析</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为设计优化提供了定量依据</w:t>
      </w:r>
      <w:r>
        <w:rPr>
          <w:rFonts w:hint="eastAsia" w:ascii="Times New Roman" w:hAnsi="Times New Roman" w:eastAsia="宋体" w:cs="Times New Roman"/>
          <w:color w:val="000000"/>
          <w:sz w:val="24"/>
          <w:szCs w:val="24"/>
          <w:lang w:eastAsia="zh-CN"/>
        </w:rPr>
        <w:t>，</w:t>
      </w:r>
      <w:r>
        <w:rPr>
          <w:rFonts w:hint="eastAsia" w:ascii="Times New Roman" w:hAnsi="Times New Roman" w:cs="Times New Roman"/>
          <w:color w:val="000000"/>
          <w:sz w:val="24"/>
          <w:szCs w:val="24"/>
          <w:lang w:val="en-US" w:eastAsia="zh-CN"/>
        </w:rPr>
        <w:t>并</w:t>
      </w:r>
      <w:r>
        <w:rPr>
          <w:rFonts w:ascii="Times New Roman" w:hAnsi="Times New Roman" w:eastAsia="宋体" w:cs="Times New Roman"/>
          <w:color w:val="000000"/>
          <w:sz w:val="24"/>
          <w:szCs w:val="24"/>
        </w:rPr>
        <w:t>通过迭代优化的方法，实现设计方案的持续改进。</w:t>
      </w:r>
    </w:p>
    <w:p w14:paraId="329B7D41">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2高校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引导策略生成</w:t>
      </w:r>
    </w:p>
    <w:p w14:paraId="6F1B5D47">
      <w:pPr>
        <w:pStyle w:val="4"/>
        <w:numPr>
          <w:ilvl w:val="0"/>
          <w:numId w:val="5"/>
        </w:numPr>
        <w:ind w:left="0" w:leftChars="0" w:firstLine="0" w:firstLineChars="0"/>
        <w:rPr>
          <w:rFonts w:hint="default" w:ascii="Times New Roman" w:hAnsi="Times New Roman" w:eastAsia="宋体" w:cs="Times New Roman"/>
          <w:color w:val="000000"/>
          <w:sz w:val="24"/>
          <w:szCs w:val="24"/>
          <w:lang w:val="en-US" w:eastAsia="zh-CN"/>
        </w:rPr>
      </w:pPr>
      <w:r>
        <w:rPr>
          <w:rFonts w:hint="eastAsia" w:ascii="Times New Roman" w:hAnsi="Times New Roman" w:eastAsia="黑体" w:cs="Times New Roman"/>
          <w:lang w:val="en-US" w:eastAsia="zh-CN"/>
        </w:rPr>
        <w:t>安全引导需求层级解析</w:t>
      </w:r>
    </w:p>
    <w:p>
      <w:pPr>
        <w:pStyle w:val="4"/>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 xml:space="preserve">本研究的核心任务在于对前期基于KANO模型调研所获取的设计需求进行深入分析与结构化整理。研究团队对86名校园道路使用者实施了系统化的问卷调查，采用KANO问卷的正向与反向提问相结合的方法，以识别各项需求要素对用户满意度的影响模式（结果如表26所示）。通过数据统计与分类整理，最终确立了包含14项核心需求的高校共享道路安全引导系统需求清单，并将其划分为基本需求、期望需求和兴奋需求三个层次。</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本环节的86名受访者由三部分构成，分别为前期参与场景评价问卷的56人、参与深度访谈的18人以及参与设计工作坊的12人。三部分人员均具有校园共享道路的实际使用经验，且对前期所提炼的需求要素具备基本认知，能够胜任Kano问卷正向与反向提问所要求的判断。相较于正文4.3.3节基于20名代表性使用者的重要度—满意度分析，本环节扩大了样本规模，其作用在于对前期的初步需求分层结论进行验证与细化，两者互为补充而非重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23项具体要素收敛至14项核心需求，经历了三个步骤。第一步为语义合并，将表述相近、指向同一设计问题的要素予以归并，例如将“反光材料与主动发光结合”与“光环境条件下的风险等级提示”合并为“夜间可见性保障”，将“标识高度适配视线习惯”与“图形化信息替代文字”合并为“标识适配性”，此步共减少5项。第二步为层级归属判定，将属于实现手段而非需求本身的要素并入其上位需求，例如将“地面纹理差异的触觉反馈”与“渐变式过渡区设计”归入“清晰的路权划分”，此步共减少3项。第三步为可行性筛除，剔除在当前校园管理条件与投入水平下短期内难以落地的要素1项。经上述三步，23项要素最终收敛为14项核心需求。整个收敛过程由课题组与6名专家共同完成，每一步的归并与剔除均记录了对应依据，以保证过程的可追溯性。</w:t>
      </w:r>
    </w:p>
    <w:p w14:paraId="3D07C7DC">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在基本需求层次，共识别出4项关键要素，包括清晰的路权划分、交叉口冲突标注、夜间可见性保障以及标识适配性。</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需求属于“必备要素”，其特性在于系统满足这些需求时，用户认为是理所当然的，但若这些需求未被满足，则会引发用户的强烈不满。研究团队通过满意度</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不满意度二维分析发现，这四项基本需求的缺失导致的不满意度系数均超过0.8，表明其对系统的可接受性具有决定性影响。特别是清晰的路权划分这一需求，在访谈中被92%的受访者标记为“最低要求”，充分体现了其基础性地位。</w:t>
      </w:r>
    </w:p>
    <w:p w14:paraId="1061FF36">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期望需求层次涵盖5项设计要素，具体包括盲区提示、速度警示、推荐速度提示、安全路径指引和分层信息呈现。此类需求呈现明显的线性效应特征，即实现程度与用户满意度呈正相关关系。数据分析显示，这五项需求的满意度系数与实现度系数的相关系数在0.75至0.88之间，表明设计质量的提升能够带来用户满意度的同步增长。以速度警示功能为例，当仅提供基础的静态限速标识时，满意度评分为6.2分，而当增加动态速度反馈和超速提醒功能后，满意度提升至8.1分，增幅达到30.6%。</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ascii="Times New Roman" w:hAnsi="Times New Roman" w:eastAsia="宋体" w:cs="Times New Roman"/>
          <w:color w:val="000000"/>
          <w:sz w:val="24"/>
          <w:szCs w:val="24"/>
        </w:rPr>
        <w:t xml:space="preserve">兴奋需求层次包含5项创新性设计元素，分别为动态流量显示、社会规范可视化、听觉辅助提示、情感化设计元素以及景观融合设计。这些功能超出了使用者的基本预期，具备显著提升体验与带来惊喜的潜力。KANO分析结果显示，这些要素的“魅力系数”均超过0.6，其中动态流量显示的魅力系数最高，达到0.74。值得注意的是，兴奋需求的缺失并不会引发用户不满，不满意度系数均低于0.2，但其实现能够创造超越预期的体验价值。在焦点小组讨论中，当研究团队展示社会规范可视化的概念原型时</w:t>
      </w:r>
      <w:r>
        <w:rPr>
          <w:rFonts w:ascii="Times New Roman" w:hAnsi="Times New Roman" w:eastAsia="宋体" w:cs="Times New Roman"/>
          <w:color w:val="000000"/>
          <w:sz w:val="24"/>
          <w:szCs w:val="24"/>
          <w:vertAlign w:val="superscript"/>
        </w:rPr>
        <w:t xml:space="preserve">[54]</w:t>
      </w:r>
      <w:r>
        <w:rPr>
          <w:rFonts w:ascii="Times New Roman" w:hAnsi="Times New Roman" w:eastAsia="宋体" w:cs="Times New Roman"/>
          <w:color w:val="000000"/>
          <w:sz w:val="24"/>
          <w:szCs w:val="24"/>
        </w:rPr>
        <w:t xml:space="preserve">，68%的参与者表示“非常感兴趣”并认为“这会让遵守规则变得更有动力”。</w:t>
      </w:r>
    </w:p>
    <w:p w14:paraId="3DEA2708">
      <w:pPr>
        <w:pStyle w:val="4"/>
        <w:spacing w:before="120" w:after="120" w:line="360" w:lineRule="auto"/>
        <w:ind w:firstLine="480"/>
        <w:jc w:val="both"/>
        <w:rPr>
          <w:rFonts w:hint="default" w:ascii="Times New Roman" w:hAnsi="Times New Roman" w:eastAsia="宋体" w:cs="Times New Roman"/>
          <w:color w:val="000000"/>
          <w:sz w:val="24"/>
          <w:szCs w:val="24"/>
          <w:lang w:val="en-US" w:eastAsia="zh-CN"/>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default" w:ascii="Times New Roman" w:hAnsi="Times New Roman" w:eastAsia="宋体" w:cs="Times New Roman"/>
          <w:lang w:val="en-US" w:eastAsia="zh-CN"/>
        </w:rPr>
      </w:pPr>
      <w:r>
        <w:rPr>
          <w:rFonts w:hint="default" w:ascii="Times New Roman" w:hAnsi="Times New Roman" w:cs="Times New Roman"/>
          <w:lang w:val="en-US" w:eastAsia="zh-CN"/>
        </w:rPr>
        <w:t xml:space="preserve">表26 基于KANO模型的高校共享道路安全引导系统需求分类统计表</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964"/>
        <w:gridCol w:w="1680"/>
        <w:gridCol w:w="482"/>
        <w:gridCol w:w="1205"/>
        <w:gridCol w:w="1446"/>
        <w:gridCol w:w="723"/>
      </w:tblGrid>
      <w:tr w14:paraId="70890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19032646">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需求类型</w:t>
            </w:r>
          </w:p>
        </w:tc>
        <w:tc>
          <w:tcPr>
            <w:tcW w:w="0" w:type="auto"/>
            <w:tcBorders>
              <w:top w:val="single" w:color="000000" w:sz="4" w:space="0"/>
              <w:left w:val="nil"/>
              <w:bottom w:val="single" w:color="000000" w:sz="12" w:space="0"/>
              <w:right w:val="nil"/>
            </w:tcBorders>
            <w:shd w:val="clear" w:color="auto" w:fill="FFFFFF"/>
            <w:vAlign w:val="center"/>
          </w:tcPr>
          <w:p w14:paraId="79DA882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47A297F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数量</w:t>
            </w:r>
          </w:p>
        </w:tc>
        <w:tc>
          <w:tcPr>
            <w:tcW w:w="0" w:type="auto"/>
            <w:tcBorders>
              <w:top w:val="single" w:color="000000" w:sz="4" w:space="0"/>
              <w:left w:val="nil"/>
              <w:bottom w:val="single" w:color="000000" w:sz="12" w:space="0"/>
              <w:right w:val="nil"/>
            </w:tcBorders>
            <w:shd w:val="clear" w:color="auto" w:fill="FFFFFF"/>
            <w:vAlign w:val="center"/>
          </w:tcPr>
          <w:p w14:paraId="2EF0BC37">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满意度系数</w:t>
            </w:r>
          </w:p>
        </w:tc>
        <w:tc>
          <w:tcPr>
            <w:tcW w:w="0" w:type="auto"/>
            <w:tcBorders>
              <w:top w:val="single" w:color="000000" w:sz="4" w:space="0"/>
              <w:left w:val="nil"/>
              <w:bottom w:val="single" w:color="000000" w:sz="12" w:space="0"/>
              <w:right w:val="nil"/>
            </w:tcBorders>
            <w:shd w:val="clear" w:color="auto" w:fill="FFFFFF"/>
            <w:vAlign w:val="center"/>
          </w:tcPr>
          <w:p w14:paraId="0F069D39">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不满意度系数</w:t>
            </w:r>
          </w:p>
        </w:tc>
        <w:tc>
          <w:tcPr>
            <w:tcW w:w="0" w:type="auto"/>
            <w:tcBorders>
              <w:top w:val="single" w:color="000000" w:sz="4" w:space="0"/>
              <w:left w:val="nil"/>
              <w:bottom w:val="single" w:color="000000" w:sz="12" w:space="0"/>
              <w:right w:val="nil"/>
            </w:tcBorders>
            <w:shd w:val="clear" w:color="auto" w:fill="FFFFFF"/>
            <w:vAlign w:val="center"/>
          </w:tcPr>
          <w:p w14:paraId="51AE8E02">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优先级</w:t>
            </w:r>
          </w:p>
        </w:tc>
      </w:tr>
      <w:tr w14:paraId="4ED33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12" w:space="0"/>
              <w:left w:val="nil"/>
              <w:right w:val="nil"/>
            </w:tcBorders>
            <w:shd w:val="clear" w:color="auto" w:fill="FFFFFF"/>
            <w:vAlign w:val="center"/>
          </w:tcPr>
          <w:p w14:paraId="00839D8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基本需求</w:t>
            </w:r>
          </w:p>
        </w:tc>
        <w:tc>
          <w:tcPr>
            <w:tcW w:w="0" w:type="auto"/>
            <w:tcBorders>
              <w:top w:val="single" w:color="000000" w:sz="12" w:space="0"/>
              <w:left w:val="nil"/>
              <w:bottom w:val="nil"/>
              <w:right w:val="nil"/>
            </w:tcBorders>
            <w:shd w:val="clear" w:color="auto" w:fill="FFFFFF"/>
            <w:vAlign w:val="center"/>
          </w:tcPr>
          <w:p w14:paraId="470394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0F08B6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12" w:space="0"/>
              <w:left w:val="nil"/>
              <w:bottom w:val="nil"/>
              <w:right w:val="nil"/>
            </w:tcBorders>
            <w:shd w:val="clear" w:color="auto" w:fill="FFFFFF"/>
            <w:vAlign w:val="center"/>
          </w:tcPr>
          <w:p w14:paraId="4EA0C05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0.32</w:t>
            </w:r>
          </w:p>
        </w:tc>
        <w:tc>
          <w:tcPr>
            <w:tcW w:w="0" w:type="auto"/>
            <w:tcBorders>
              <w:top w:val="single" w:color="000000" w:sz="12" w:space="0"/>
              <w:left w:val="nil"/>
              <w:bottom w:val="nil"/>
              <w:right w:val="nil"/>
            </w:tcBorders>
            <w:shd w:val="clear" w:color="auto" w:fill="FFFFFF"/>
            <w:vAlign w:val="center"/>
          </w:tcPr>
          <w:p w14:paraId="653FCFA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-0.89</w:t>
            </w:r>
          </w:p>
        </w:tc>
        <w:tc>
          <w:tcPr>
            <w:tcW w:w="0" w:type="auto"/>
            <w:tcBorders>
              <w:top w:val="single" w:color="000000" w:sz="12" w:space="0"/>
              <w:left w:val="nil"/>
              <w:bottom w:val="nil"/>
              <w:right w:val="nil"/>
            </w:tcBorders>
            <w:shd w:val="clear" w:color="auto" w:fill="FFFFFF"/>
            <w:vAlign w:val="center"/>
          </w:tcPr>
          <w:p w14:paraId="6B60883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37BC7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 w:hRule="atLeast"/>
          <w:jc w:val="center"/>
        </w:trPr>
        <w:tc>
          <w:tcPr>
            <w:tcW w:w="0" w:type="auto"/>
            <w:vMerge w:val="continue"/>
            <w:tcBorders>
              <w:left w:val="nil"/>
              <w:right w:val="nil"/>
            </w:tcBorders>
            <w:shd w:val="clear" w:color="auto" w:fill="FFFFFF"/>
            <w:vAlign w:val="center"/>
          </w:tcPr>
          <w:p w14:paraId="0EDF2E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A4C128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1666510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1BBFE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0.28</w:t>
            </w:r>
          </w:p>
        </w:tc>
        <w:tc>
          <w:tcPr>
            <w:tcW w:w="0" w:type="auto"/>
            <w:tcBorders>
              <w:top w:val="nil"/>
              <w:left w:val="nil"/>
              <w:bottom w:val="nil"/>
              <w:right w:val="nil"/>
            </w:tcBorders>
            <w:shd w:val="clear" w:color="auto" w:fill="FFFFFF"/>
            <w:vAlign w:val="center"/>
          </w:tcPr>
          <w:p w14:paraId="3EE502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04A85E9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DFCA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585E679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FE80B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2564FBD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286E21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0.35</w:t>
            </w:r>
          </w:p>
        </w:tc>
        <w:tc>
          <w:tcPr>
            <w:tcW w:w="0" w:type="auto"/>
            <w:tcBorders>
              <w:top w:val="nil"/>
              <w:left w:val="nil"/>
              <w:bottom w:val="nil"/>
              <w:right w:val="nil"/>
            </w:tcBorders>
            <w:shd w:val="clear" w:color="auto" w:fill="FFFFFF"/>
            <w:vAlign w:val="center"/>
          </w:tcPr>
          <w:p w14:paraId="6C645C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3437BC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0E1FA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nil"/>
              <w:right w:val="nil"/>
            </w:tcBorders>
            <w:shd w:val="clear" w:color="auto" w:fill="FFFFFF"/>
            <w:vAlign w:val="center"/>
          </w:tcPr>
          <w:p w14:paraId="5B6265D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67E44F0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345F4E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3EBE9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0.31</w:t>
            </w:r>
          </w:p>
        </w:tc>
        <w:tc>
          <w:tcPr>
            <w:tcW w:w="0" w:type="auto"/>
            <w:tcBorders>
              <w:top w:val="nil"/>
              <w:left w:val="nil"/>
              <w:bottom w:val="nil"/>
              <w:right w:val="nil"/>
            </w:tcBorders>
            <w:shd w:val="clear" w:color="auto" w:fill="FFFFFF"/>
            <w:vAlign w:val="center"/>
          </w:tcPr>
          <w:p w14:paraId="391BC28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w:t>
            </w:r>
          </w:p>
        </w:tc>
        <w:tc>
          <w:tcPr>
            <w:tcW w:w="0" w:type="auto"/>
            <w:tcBorders>
              <w:top w:val="nil"/>
              <w:left w:val="nil"/>
              <w:bottom w:val="nil"/>
              <w:right w:val="nil"/>
            </w:tcBorders>
            <w:shd w:val="clear" w:color="auto" w:fill="FFFFFF"/>
            <w:vAlign w:val="center"/>
          </w:tcPr>
          <w:p w14:paraId="6F29C5A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P0</w:t>
            </w:r>
          </w:p>
        </w:tc>
      </w:tr>
      <w:tr w14:paraId="1B63D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restart"/>
            <w:tcBorders>
              <w:top w:val="single" w:color="000000" w:sz="4" w:space="0"/>
              <w:left w:val="nil"/>
              <w:right w:val="nil"/>
              <w:tl2br w:val="nil"/>
            </w:tcBorders>
            <w:shd w:val="clear" w:color="auto" w:fill="FFFFFF"/>
            <w:vAlign w:val="center"/>
          </w:tcPr>
          <w:p w14:paraId="23CD746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期望需求</w:t>
            </w:r>
          </w:p>
        </w:tc>
        <w:tc>
          <w:tcPr>
            <w:tcW w:w="0" w:type="auto"/>
            <w:tcBorders>
              <w:top w:val="single" w:color="000000" w:sz="4" w:space="0"/>
              <w:left w:val="nil"/>
              <w:bottom w:val="nil"/>
              <w:right w:val="nil"/>
            </w:tcBorders>
            <w:shd w:val="clear" w:color="auto" w:fill="FFFFFF"/>
            <w:vAlign w:val="center"/>
          </w:tcPr>
          <w:p w14:paraId="2345D3B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single" w:color="000000" w:sz="4" w:space="0"/>
              <w:left w:val="nil"/>
              <w:bottom w:val="nil"/>
              <w:right w:val="nil"/>
            </w:tcBorders>
            <w:shd w:val="clear" w:color="auto" w:fill="FFFFFF"/>
            <w:vAlign w:val="center"/>
          </w:tcPr>
          <w:p w14:paraId="50DBC2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single" w:color="000000" w:sz="4" w:space="0"/>
              <w:left w:val="nil"/>
              <w:bottom w:val="nil"/>
              <w:right w:val="nil"/>
            </w:tcBorders>
            <w:shd w:val="clear" w:color="auto" w:fill="FFFFFF"/>
            <w:vAlign w:val="center"/>
          </w:tcPr>
          <w:p w14:paraId="75F8CFA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0.76</w:t>
            </w:r>
          </w:p>
        </w:tc>
        <w:tc>
          <w:tcPr>
            <w:tcW w:w="0" w:type="auto"/>
            <w:tcBorders>
              <w:top w:val="single" w:color="000000" w:sz="4" w:space="0"/>
              <w:left w:val="nil"/>
              <w:bottom w:val="nil"/>
              <w:right w:val="nil"/>
            </w:tcBorders>
            <w:shd w:val="clear" w:color="auto" w:fill="FFFFFF"/>
            <w:vAlign w:val="center"/>
          </w:tcPr>
          <w:p w14:paraId="7C0DE13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single" w:color="000000" w:sz="4" w:space="0"/>
              <w:left w:val="nil"/>
              <w:bottom w:val="nil"/>
              <w:right w:val="nil"/>
            </w:tcBorders>
            <w:shd w:val="clear" w:color="auto" w:fill="FFFFFF"/>
            <w:vAlign w:val="center"/>
          </w:tcPr>
          <w:p w14:paraId="00A219B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1D4A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F43191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28B865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140A1E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82F22D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0.82</w:t>
            </w:r>
          </w:p>
        </w:tc>
        <w:tc>
          <w:tcPr>
            <w:tcW w:w="0" w:type="auto"/>
            <w:tcBorders>
              <w:top w:val="nil"/>
              <w:left w:val="nil"/>
              <w:bottom w:val="nil"/>
              <w:right w:val="nil"/>
            </w:tcBorders>
            <w:shd w:val="clear" w:color="auto" w:fill="FFFFFF"/>
            <w:vAlign w:val="center"/>
          </w:tcPr>
          <w:p w14:paraId="2E89616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-0.71</w:t>
            </w:r>
          </w:p>
        </w:tc>
        <w:tc>
          <w:tcPr>
            <w:tcW w:w="0" w:type="auto"/>
            <w:tcBorders>
              <w:top w:val="nil"/>
              <w:left w:val="nil"/>
              <w:bottom w:val="nil"/>
              <w:right w:val="nil"/>
            </w:tcBorders>
            <w:shd w:val="clear" w:color="auto" w:fill="FFFFFF"/>
            <w:vAlign w:val="center"/>
          </w:tcPr>
          <w:p w14:paraId="644D90D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33D1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0D79E4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3E5DFB4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42FA56C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02ACF32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0.78</w:t>
            </w:r>
          </w:p>
        </w:tc>
        <w:tc>
          <w:tcPr>
            <w:tcW w:w="0" w:type="auto"/>
            <w:tcBorders>
              <w:top w:val="nil"/>
              <w:left w:val="nil"/>
              <w:bottom w:val="nil"/>
              <w:right w:val="nil"/>
            </w:tcBorders>
            <w:shd w:val="clear" w:color="auto" w:fill="FFFFFF"/>
            <w:vAlign w:val="center"/>
          </w:tcPr>
          <w:p w14:paraId="70C875B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74C8F9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932E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D8309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5BD4375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4416A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2EDCF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0.85</w:t>
            </w:r>
          </w:p>
        </w:tc>
        <w:tc>
          <w:tcPr>
            <w:tcW w:w="0" w:type="auto"/>
            <w:tcBorders>
              <w:top w:val="nil"/>
              <w:left w:val="nil"/>
              <w:bottom w:val="nil"/>
              <w:right w:val="nil"/>
            </w:tcBorders>
            <w:shd w:val="clear" w:color="auto" w:fill="FFFFFF"/>
            <w:vAlign w:val="center"/>
          </w:tcPr>
          <w:p w14:paraId="2D9280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-0.73</w:t>
            </w:r>
          </w:p>
        </w:tc>
        <w:tc>
          <w:tcPr>
            <w:tcW w:w="0" w:type="auto"/>
            <w:tcBorders>
              <w:top w:val="nil"/>
              <w:left w:val="nil"/>
              <w:bottom w:val="nil"/>
              <w:right w:val="nil"/>
            </w:tcBorders>
            <w:shd w:val="clear" w:color="auto" w:fill="FFFFFF"/>
            <w:vAlign w:val="center"/>
          </w:tcPr>
          <w:p w14:paraId="11E6C44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66FBB9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066C494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2FABE2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single" w:color="000000" w:sz="4" w:space="0"/>
              <w:right w:val="nil"/>
            </w:tcBorders>
            <w:shd w:val="clear" w:color="auto" w:fill="FFFFFF"/>
            <w:vAlign w:val="center"/>
          </w:tcPr>
          <w:p w14:paraId="435D02A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02044F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0.75</w:t>
            </w:r>
          </w:p>
        </w:tc>
        <w:tc>
          <w:tcPr>
            <w:tcW w:w="0" w:type="auto"/>
            <w:tcBorders>
              <w:top w:val="nil"/>
              <w:left w:val="nil"/>
              <w:bottom w:val="single" w:color="000000" w:sz="4" w:space="0"/>
              <w:right w:val="nil"/>
            </w:tcBorders>
            <w:shd w:val="clear" w:color="auto" w:fill="FFFFFF"/>
            <w:vAlign w:val="center"/>
          </w:tcPr>
          <w:p w14:paraId="09BA672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single" w:color="000000" w:sz="4" w:space="0"/>
              <w:right w:val="nil"/>
            </w:tcBorders>
            <w:shd w:val="clear" w:color="auto" w:fill="FFFFFF"/>
            <w:vAlign w:val="center"/>
          </w:tcPr>
          <w:p w14:paraId="3B79355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P1</w:t>
            </w:r>
          </w:p>
        </w:tc>
      </w:tr>
      <w:tr w14:paraId="733DB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restart"/>
            <w:tcBorders>
              <w:top w:val="nil"/>
              <w:left w:val="nil"/>
              <w:right w:val="nil"/>
            </w:tcBorders>
            <w:shd w:val="clear" w:color="auto" w:fill="FFFFFF"/>
            <w:vAlign w:val="center"/>
          </w:tcPr>
          <w:p w14:paraId="4D6483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兴奋需求</w:t>
            </w:r>
          </w:p>
        </w:tc>
        <w:tc>
          <w:tcPr>
            <w:tcW w:w="0" w:type="auto"/>
            <w:tcBorders>
              <w:top w:val="nil"/>
              <w:left w:val="nil"/>
              <w:bottom w:val="nil"/>
              <w:right w:val="nil"/>
            </w:tcBorders>
            <w:shd w:val="clear" w:color="auto" w:fill="FFFFFF"/>
            <w:vAlign w:val="center"/>
          </w:tcPr>
          <w:p w14:paraId="26AE4E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788C1FD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3EFFDFD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0.74</w:t>
            </w:r>
          </w:p>
        </w:tc>
        <w:tc>
          <w:tcPr>
            <w:tcW w:w="0" w:type="auto"/>
            <w:tcBorders>
              <w:top w:val="nil"/>
              <w:left w:val="nil"/>
              <w:bottom w:val="nil"/>
              <w:right w:val="nil"/>
            </w:tcBorders>
            <w:shd w:val="clear" w:color="auto" w:fill="FFFFFF"/>
            <w:vAlign w:val="center"/>
          </w:tcPr>
          <w:p w14:paraId="2CB87B9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-0.15</w:t>
            </w:r>
          </w:p>
        </w:tc>
        <w:tc>
          <w:tcPr>
            <w:tcW w:w="0" w:type="auto"/>
            <w:tcBorders>
              <w:top w:val="nil"/>
              <w:left w:val="nil"/>
              <w:bottom w:val="nil"/>
              <w:right w:val="nil"/>
            </w:tcBorders>
            <w:shd w:val="clear" w:color="auto" w:fill="FFFFFF"/>
            <w:vAlign w:val="center"/>
          </w:tcPr>
          <w:p w14:paraId="5C08C1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72222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310836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350EB7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300F33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4E7F91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0.68</w:t>
            </w:r>
          </w:p>
        </w:tc>
        <w:tc>
          <w:tcPr>
            <w:tcW w:w="0" w:type="auto"/>
            <w:tcBorders>
              <w:top w:val="nil"/>
              <w:left w:val="nil"/>
              <w:bottom w:val="nil"/>
              <w:right w:val="nil"/>
            </w:tcBorders>
            <w:shd w:val="clear" w:color="auto" w:fill="FFFFFF"/>
            <w:vAlign w:val="center"/>
          </w:tcPr>
          <w:p w14:paraId="6FD24A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-0.12</w:t>
            </w:r>
          </w:p>
        </w:tc>
        <w:tc>
          <w:tcPr>
            <w:tcW w:w="0" w:type="auto"/>
            <w:tcBorders>
              <w:top w:val="nil"/>
              <w:left w:val="nil"/>
              <w:bottom w:val="nil"/>
              <w:right w:val="nil"/>
            </w:tcBorders>
            <w:shd w:val="clear" w:color="auto" w:fill="FFFFFF"/>
            <w:vAlign w:val="center"/>
          </w:tcPr>
          <w:p w14:paraId="0B8E24F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57251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63FD448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004062D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587FD48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7CEB40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0.62</w:t>
            </w:r>
          </w:p>
        </w:tc>
        <w:tc>
          <w:tcPr>
            <w:tcW w:w="0" w:type="auto"/>
            <w:tcBorders>
              <w:top w:val="nil"/>
              <w:left w:val="nil"/>
              <w:bottom w:val="nil"/>
              <w:right w:val="nil"/>
            </w:tcBorders>
            <w:shd w:val="clear" w:color="auto" w:fill="FFFFFF"/>
            <w:vAlign w:val="center"/>
          </w:tcPr>
          <w:p w14:paraId="261014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-0.18</w:t>
            </w:r>
          </w:p>
        </w:tc>
        <w:tc>
          <w:tcPr>
            <w:tcW w:w="0" w:type="auto"/>
            <w:tcBorders>
              <w:top w:val="nil"/>
              <w:left w:val="nil"/>
              <w:bottom w:val="nil"/>
              <w:right w:val="nil"/>
            </w:tcBorders>
            <w:shd w:val="clear" w:color="auto" w:fill="FFFFFF"/>
            <w:vAlign w:val="center"/>
          </w:tcPr>
          <w:p w14:paraId="5BDA187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6DC60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vMerge w:val="continue"/>
            <w:tcBorders>
              <w:left w:val="nil"/>
              <w:right w:val="nil"/>
            </w:tcBorders>
            <w:shd w:val="clear" w:color="auto" w:fill="FFFFFF"/>
            <w:vAlign w:val="center"/>
          </w:tcPr>
          <w:p w14:paraId="4413BB3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nil"/>
              <w:right w:val="nil"/>
            </w:tcBorders>
            <w:shd w:val="clear" w:color="auto" w:fill="FFFFFF"/>
            <w:vAlign w:val="center"/>
          </w:tcPr>
          <w:p w14:paraId="45B8F0E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26B25AC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nil"/>
              <w:right w:val="nil"/>
            </w:tcBorders>
            <w:shd w:val="clear" w:color="auto" w:fill="FFFFFF"/>
            <w:vAlign w:val="center"/>
          </w:tcPr>
          <w:p w14:paraId="56EEA9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0.65</w:t>
            </w:r>
          </w:p>
        </w:tc>
        <w:tc>
          <w:tcPr>
            <w:tcW w:w="0" w:type="auto"/>
            <w:tcBorders>
              <w:top w:val="nil"/>
              <w:left w:val="nil"/>
              <w:bottom w:val="nil"/>
              <w:right w:val="nil"/>
            </w:tcBorders>
            <w:shd w:val="clear" w:color="auto" w:fill="FFFFFF"/>
            <w:vAlign w:val="center"/>
          </w:tcPr>
          <w:p w14:paraId="555E8F4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-0.14</w:t>
            </w:r>
          </w:p>
        </w:tc>
        <w:tc>
          <w:tcPr>
            <w:tcW w:w="0" w:type="auto"/>
            <w:tcBorders>
              <w:top w:val="nil"/>
              <w:left w:val="nil"/>
              <w:bottom w:val="nil"/>
              <w:right w:val="nil"/>
            </w:tcBorders>
            <w:shd w:val="clear" w:color="auto" w:fill="FFFFFF"/>
            <w:vAlign w:val="center"/>
          </w:tcPr>
          <w:p w14:paraId="3949D9F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P2</w:t>
            </w:r>
          </w:p>
        </w:tc>
      </w:tr>
      <w:tr w14:paraId="0E72A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3" w:hRule="atLeast"/>
          <w:jc w:val="center"/>
        </w:trPr>
        <w:tc>
          <w:tcPr>
            <w:tcW w:w="0" w:type="auto"/>
            <w:vMerge w:val="continue"/>
            <w:tcBorders>
              <w:left w:val="nil"/>
              <w:bottom w:val="single" w:color="000000" w:sz="4" w:space="0"/>
              <w:right w:val="nil"/>
            </w:tcBorders>
            <w:shd w:val="clear" w:color="auto" w:fill="FFFFFF"/>
            <w:vAlign w:val="center"/>
          </w:tcPr>
          <w:p w14:paraId="58F81A4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p>
        </w:tc>
        <w:tc>
          <w:tcPr>
            <w:tcW w:w="0" w:type="auto"/>
            <w:tcBorders>
              <w:top w:val="nil"/>
              <w:left w:val="nil"/>
              <w:bottom w:val="single" w:color="000000" w:sz="4" w:space="0"/>
              <w:right w:val="nil"/>
            </w:tcBorders>
            <w:shd w:val="clear" w:color="auto" w:fill="FFFFFF"/>
            <w:vAlign w:val="center"/>
          </w:tcPr>
          <w:p w14:paraId="0BF5CED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395031E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1</w:t>
            </w:r>
          </w:p>
        </w:tc>
        <w:tc>
          <w:tcPr>
            <w:tcW w:w="0" w:type="auto"/>
            <w:tcBorders>
              <w:top w:val="nil"/>
              <w:left w:val="nil"/>
              <w:bottom w:val="single" w:color="000000" w:sz="4" w:space="0"/>
              <w:right w:val="nil"/>
            </w:tcBorders>
            <w:shd w:val="clear" w:color="auto" w:fill="FFFFFF"/>
            <w:vAlign w:val="center"/>
          </w:tcPr>
          <w:p w14:paraId="5BD3FEA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0.61</w:t>
            </w:r>
          </w:p>
        </w:tc>
        <w:tc>
          <w:tcPr>
            <w:tcW w:w="0" w:type="auto"/>
            <w:tcBorders>
              <w:top w:val="nil"/>
              <w:left w:val="nil"/>
              <w:bottom w:val="single" w:color="000000" w:sz="4" w:space="0"/>
              <w:right w:val="nil"/>
            </w:tcBorders>
            <w:shd w:val="clear" w:color="auto" w:fill="FFFFFF"/>
            <w:vAlign w:val="center"/>
          </w:tcPr>
          <w:p w14:paraId="6EBFF4F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-0.11</w:t>
            </w:r>
          </w:p>
        </w:tc>
        <w:tc>
          <w:tcPr>
            <w:tcW w:w="0" w:type="auto"/>
            <w:tcBorders>
              <w:top w:val="nil"/>
              <w:left w:val="nil"/>
              <w:bottom w:val="single" w:color="000000" w:sz="4" w:space="0"/>
              <w:right w:val="nil"/>
            </w:tcBorders>
            <w:shd w:val="clear" w:color="auto" w:fill="FFFFFF"/>
            <w:vAlign w:val="center"/>
          </w:tcPr>
          <w:p w14:paraId="5248292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P3</w:t>
            </w:r>
          </w:p>
        </w:tc>
      </w:tr>
    </w:tbl>
    <w:p w14:paraId="13DC394D">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r>
        <w:rPr>
          <w:rFonts w:hint="default" w:ascii="Times New Roman" w:hAnsi="Times New Roman" w:eastAsia="宋体" w:cs="Times New Roman"/>
          <w:lang w:eastAsia="zh-CN"/>
        </w:rPr>
        <w:t xml:space="preserve">注：满意度系数=（兴奋+期望）/（兴奋+期望+基本+无差异）；不满意度系数=-（基本+期望）/（兴奋+期望+基本+无差异）</w:t>
      </w:r>
    </w:p>
    <w:p w14:paraId="2FF15508">
      <w:pPr>
        <w:pStyle w:val="4"/>
        <w:keepNext w:val="0"/>
        <w:keepLines w:val="0"/>
        <w:pageBreakBefore w:val="0"/>
        <w:widowControl/>
        <w:numPr>
          <w:ilvl w:val="0"/>
          <w:numId w:val="0"/>
        </w:numPr>
        <w:kinsoku/>
        <w:wordWrap/>
        <w:overflowPunct/>
        <w:topLinePunct w:val="0"/>
        <w:autoSpaceDE/>
        <w:autoSpaceDN/>
        <w:bidi w:val="0"/>
        <w:adjustRightInd/>
        <w:snapToGrid/>
        <w:spacing w:before="0" w:after="0" w:line="240" w:lineRule="atLeast"/>
        <w:jc w:val="both"/>
        <w:textAlignment w:val="auto"/>
        <w:rPr>
          <w:rFonts w:hint="default" w:ascii="Times New Roman" w:hAnsi="Times New Roman" w:eastAsia="宋体" w:cs="Times New Roman"/>
          <w:lang w:eastAsia="zh-CN"/>
        </w:rPr>
      </w:pPr>
    </w:p>
    <w:p w14:paraId="64A665E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基于需求层级化的研究基础，</w:t>
      </w:r>
      <w:r>
        <w:rPr>
          <w:rFonts w:hint="eastAsia" w:ascii="Times New Roman" w:hAnsi="Times New Roman" w:eastAsia="宋体" w:cs="Times New Roman"/>
          <w:color w:val="000000"/>
          <w:sz w:val="24"/>
          <w:szCs w:val="24"/>
          <w:lang w:val="en-US" w:eastAsia="zh-CN"/>
        </w:rPr>
        <w:t>本</w:t>
      </w:r>
      <w:r>
        <w:rPr>
          <w:rFonts w:ascii="Times New Roman" w:hAnsi="Times New Roman" w:eastAsia="宋体" w:cs="Times New Roman"/>
          <w:color w:val="000000"/>
          <w:sz w:val="24"/>
          <w:szCs w:val="24"/>
        </w:rPr>
        <w:t>研究团队进一步执行了需求关联性分析。通过构建需求依赖关系矩阵，研究揭示了清晰路权划分作为核心基本需求，与其他多项需求存在显著的依赖性。例如，盲区提示与安全路径指引的有效性建立在清晰路权划分的基础之上，只有当使用者能够准确识别自己的通行区域，才能理解盲区的位置和安全路径的意义。类似地，社会规范可视化和情感化设计元素虽属于兴奋需求，但其设计表达也需要以基本需求的满足为前提。</w:t>
      </w:r>
      <w:r>
        <w:rPr>
          <w:rFonts w:hint="eastAsia" w:ascii="Times New Roman" w:hAnsi="Times New Roman" w:eastAsia="宋体" w:cs="Times New Roman"/>
          <w:color w:val="000000"/>
          <w:sz w:val="24"/>
          <w:szCs w:val="24"/>
          <w:lang w:val="en-US" w:eastAsia="zh-CN"/>
        </w:rPr>
        <w:t>此类</w:t>
      </w:r>
      <w:r>
        <w:rPr>
          <w:rFonts w:ascii="Times New Roman" w:hAnsi="Times New Roman" w:eastAsia="宋体" w:cs="Times New Roman"/>
          <w:color w:val="000000"/>
          <w:sz w:val="24"/>
          <w:szCs w:val="24"/>
        </w:rPr>
        <w:t>层级间的依赖关系提示研究团队在设计实施中必须遵循</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先基础后提升</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的</w:t>
      </w:r>
      <w:r>
        <w:rPr>
          <w:rFonts w:hint="eastAsia" w:ascii="Times New Roman" w:hAnsi="Times New Roman" w:eastAsia="宋体" w:cs="Times New Roman"/>
          <w:color w:val="000000"/>
          <w:sz w:val="24"/>
          <w:szCs w:val="24"/>
          <w:lang w:val="en-US" w:eastAsia="zh-CN"/>
        </w:rPr>
        <w:t>研究逻辑</w:t>
      </w:r>
      <w:r>
        <w:rPr>
          <w:rFonts w:ascii="Times New Roman" w:hAnsi="Times New Roman" w:eastAsia="宋体" w:cs="Times New Roman"/>
          <w:color w:val="000000"/>
          <w:sz w:val="24"/>
          <w:szCs w:val="24"/>
        </w:rPr>
        <w:t>。</w:t>
      </w:r>
    </w:p>
    <w:p w14:paraId="517B5CC5">
      <w:pPr>
        <w:pStyle w:val="4"/>
        <w:bidi w:val="0"/>
        <w:spacing w:before="120" w:after="120" w:line="360" w:lineRule="auto"/>
        <w:ind w:firstLine="480"/>
        <w:jc w:val="both"/>
        <w:rPr>
          <w:rFonts w:ascii="Times New Roman" w:hAnsi="Times New Roman" w:eastAsia="宋体" w:cs="Times New Roman"/>
          <w:color w:val="000000"/>
          <w:sz w:val="24"/>
          <w:szCs w:val="24"/>
        </w:rPr>
      </w:pPr>
    </w:p>
    <w:p w14:paraId="41AC984C">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226EFB81">
      <w:pPr>
        <w:pStyle w:val="4"/>
        <w:numPr>
          <w:ilvl w:val="0"/>
          <w:numId w:val="5"/>
        </w:numPr>
        <w:ind w:left="0" w:leftChars="0" w:firstLine="0" w:firstLineChars="0"/>
        <w:rPr>
          <w:rFonts w:hint="default" w:ascii="Times New Roman" w:hAnsi="Times New Roman" w:eastAsia="黑体" w:cs="Times New Roman"/>
          <w:lang w:val="en-US" w:eastAsia="zh-CN"/>
        </w:rPr>
      </w:pPr>
      <w:r>
        <w:rPr>
          <w:rFonts w:hint="eastAsia" w:ascii="Times New Roman" w:hAnsi="Times New Roman" w:eastAsia="黑体" w:cs="Times New Roman"/>
          <w:lang w:val="en-US" w:eastAsia="zh-CN"/>
        </w:rPr>
        <w:t>案例分析及安全引导策略提取</w:t>
      </w:r>
    </w:p>
    <w:p w14:paraId="7CFABE0A">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为实现14项设计需求向可操作性</w:t>
      </w:r>
      <w:r>
        <w:rPr>
          <w:rFonts w:hint="eastAsia" w:ascii="Times New Roman" w:hAnsi="Times New Roman" w:eastAsia="宋体" w:cs="Times New Roman"/>
          <w:color w:val="000000"/>
          <w:sz w:val="24"/>
          <w:szCs w:val="24"/>
        </w:rPr>
        <w:t>安全引导策略</w:t>
      </w:r>
      <w:r>
        <w:rPr>
          <w:rFonts w:ascii="Times New Roman" w:hAnsi="Times New Roman" w:eastAsia="宋体" w:cs="Times New Roman"/>
          <w:color w:val="000000"/>
          <w:sz w:val="24"/>
          <w:szCs w:val="24"/>
        </w:rPr>
        <w:t>的转化，研究团队执行了系统性的国内外案例研究。研究精选了20个在道路交通引导设计领域具有示范意义的高校和城市案例</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且</w:t>
      </w:r>
      <w:r>
        <w:rPr>
          <w:rFonts w:ascii="Times New Roman" w:hAnsi="Times New Roman" w:eastAsia="宋体" w:cs="Times New Roman"/>
          <w:color w:val="000000"/>
          <w:sz w:val="24"/>
          <w:szCs w:val="24"/>
        </w:rPr>
        <w:t>案例选择标准综合了设计完整性、实施成熟度、使用者反馈质量以及与本研究情境的相似度。</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案例分析采用了结构化的编码方法，研究人员针对每个案例从八个维度进行细致的拆解，这八个维度包括色彩编码系统、标线形态样式、标识符号体系、信息层级结构、空间布局逻辑、材质选择策略、照明辅助设计和动态显示技术。在每个维度下进一步识别具体的设计手法和实现技术。经过系统梳理，共提炼出64种设计策略单元，这些策略单元构成了本研究设计方案的“元素库”。</w:t>
      </w:r>
    </w:p>
    <w:p w14:paraId="595CD258">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针对基本需求中的“清晰的路权划分”，案例研究揭示了五种主流实现策略。首先</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色彩分区策略，例如哥本哈根采用红色铺装标识自行车道、灰色铺装标识人行道的做法，这种方法直观性强但对色彩选择和对比度要求较高。其次</w:t>
      </w:r>
      <w:r>
        <w:rPr>
          <w:rFonts w:hint="eastAsia" w:ascii="Times New Roman" w:hAnsi="Times New Roman" w:eastAsia="宋体" w:cs="Times New Roman"/>
          <w:color w:val="000000"/>
          <w:sz w:val="24"/>
          <w:szCs w:val="24"/>
          <w:lang w:eastAsia="zh-CN"/>
        </w:rPr>
        <w:t>，</w:t>
      </w:r>
      <w:r>
        <w:rPr>
          <w:rFonts w:ascii="Times New Roman" w:hAnsi="Times New Roman" w:eastAsia="宋体" w:cs="Times New Roman"/>
          <w:color w:val="000000"/>
          <w:sz w:val="24"/>
          <w:szCs w:val="24"/>
        </w:rPr>
        <w:t>标线界定策略，如新加坡国立大学使用双实线分隔不同交通流，这种方法成本较低但在交叉区域可能产生混淆。</w:t>
      </w:r>
      <w:r>
        <w:rPr>
          <w:rFonts w:hint="eastAsia" w:ascii="Times New Roman" w:hAnsi="Times New Roman" w:eastAsia="宋体" w:cs="Times New Roman"/>
          <w:color w:val="000000"/>
          <w:sz w:val="24"/>
          <w:szCs w:val="24"/>
          <w:lang w:val="en-US" w:eastAsia="zh-CN"/>
        </w:rPr>
        <w:t>再次，</w:t>
      </w:r>
      <w:r>
        <w:rPr>
          <w:rFonts w:ascii="Times New Roman" w:hAnsi="Times New Roman" w:eastAsia="宋体" w:cs="Times New Roman"/>
          <w:color w:val="000000"/>
          <w:sz w:val="24"/>
          <w:szCs w:val="24"/>
        </w:rPr>
        <w:t>高度差异策略，如荷兰多所大学采用的路面微高差设计，通过2</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5厘米的高度差异提供触觉反馈，适合盲人等特殊群体。</w:t>
      </w:r>
      <w:r>
        <w:rPr>
          <w:rFonts w:hint="eastAsia" w:ascii="Times New Roman" w:hAnsi="Times New Roman" w:eastAsia="宋体" w:cs="Times New Roman"/>
          <w:color w:val="000000"/>
          <w:sz w:val="24"/>
          <w:szCs w:val="24"/>
          <w:lang w:val="en-US" w:eastAsia="zh-CN"/>
        </w:rPr>
        <w:t>此外，</w:t>
      </w:r>
      <w:r>
        <w:rPr>
          <w:rFonts w:ascii="Times New Roman" w:hAnsi="Times New Roman" w:eastAsia="宋体" w:cs="Times New Roman"/>
          <w:color w:val="000000"/>
          <w:sz w:val="24"/>
          <w:szCs w:val="24"/>
        </w:rPr>
        <w:t>材质对比策略，如东京大学使用粗糙沥青和光滑彩色混凝土的组合，利用视觉和触觉双重信号。</w:t>
      </w:r>
      <w:r>
        <w:rPr>
          <w:rFonts w:hint="eastAsia" w:ascii="Times New Roman" w:hAnsi="Times New Roman" w:eastAsia="宋体" w:cs="Times New Roman"/>
          <w:color w:val="000000"/>
          <w:sz w:val="24"/>
          <w:szCs w:val="24"/>
          <w:lang w:val="en-US" w:eastAsia="zh-CN"/>
        </w:rPr>
        <w:t>最后，</w:t>
      </w:r>
      <w:r>
        <w:rPr>
          <w:rFonts w:hint="eastAsia" w:ascii="Times New Roman" w:hAnsi="Times New Roman" w:cs="Times New Roman"/>
          <w:color w:val="000000"/>
          <w:sz w:val="24"/>
          <w:szCs w:val="24"/>
          <w:lang w:val="en-US" w:eastAsia="zh-CN"/>
        </w:rPr>
        <w:t>将</w:t>
      </w:r>
      <w:r>
        <w:rPr>
          <w:rFonts w:ascii="Times New Roman" w:hAnsi="Times New Roman" w:eastAsia="宋体" w:cs="Times New Roman"/>
          <w:color w:val="000000"/>
          <w:sz w:val="24"/>
          <w:szCs w:val="24"/>
        </w:rPr>
        <w:t>上述多种方法组合使用，如斯坦福大学的系统整合了色彩、标线和材质三种要素。</w:t>
      </w:r>
    </w:p>
    <w:p w14:paraId="531585B2">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期望需求中的“速度警示”和“推荐速度提示”，案例研究揭示了静态与动态两种技术路线。静态速度警示主要依靠地面标识和警示牌，如英国剑桥大学在弯道前设置的“减速慢行”标识配合减速标线。动态速度提示则运用电子显示技术，</w:t>
      </w:r>
      <w:r>
        <w:rPr>
          <w:rFonts w:hint="eastAsia" w:ascii="Times New Roman" w:hAnsi="Times New Roman" w:cs="Times New Roman"/>
          <w:color w:val="000000"/>
          <w:sz w:val="24"/>
          <w:szCs w:val="24"/>
          <w:lang w:val="en-US" w:eastAsia="zh-CN"/>
        </w:rPr>
        <w:t>比</w:t>
      </w:r>
      <w:r>
        <w:rPr>
          <w:rFonts w:ascii="Times New Roman" w:hAnsi="Times New Roman" w:eastAsia="宋体" w:cs="Times New Roman"/>
          <w:color w:val="000000"/>
          <w:sz w:val="24"/>
          <w:szCs w:val="24"/>
        </w:rPr>
        <w:t>如</w:t>
      </w:r>
      <w:r>
        <w:rPr>
          <w:rFonts w:hint="eastAsia" w:ascii="Times New Roman" w:hAnsi="Times New Roman" w:eastAsia="宋体" w:cs="Times New Roman"/>
          <w:color w:val="000000"/>
          <w:sz w:val="24"/>
          <w:szCs w:val="24"/>
          <w:lang w:val="en-US" w:eastAsia="zh-CN"/>
        </w:rPr>
        <w:t>有研究人员</w:t>
      </w:r>
      <w:r>
        <w:rPr>
          <w:rFonts w:ascii="Times New Roman" w:hAnsi="Times New Roman" w:eastAsia="宋体" w:cs="Times New Roman"/>
          <w:color w:val="000000"/>
          <w:sz w:val="24"/>
          <w:szCs w:val="24"/>
        </w:rPr>
        <w:t>开发的</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雷达测速+实时显示</w:t>
      </w:r>
      <w:r>
        <w:rPr>
          <w:rFonts w:hint="eastAsia" w:ascii="Times New Roman" w:hAnsi="Times New Roman" w:cs="Times New Roman"/>
          <w:color w:val="000000"/>
          <w:sz w:val="24"/>
          <w:szCs w:val="24"/>
          <w:lang w:eastAsia="zh-CN"/>
        </w:rPr>
        <w:t>”</w:t>
      </w:r>
      <w:r>
        <w:rPr>
          <w:rFonts w:ascii="Times New Roman" w:hAnsi="Times New Roman" w:eastAsia="宋体" w:cs="Times New Roman"/>
          <w:color w:val="000000"/>
          <w:sz w:val="24"/>
          <w:szCs w:val="24"/>
        </w:rPr>
        <w:t>系统，能够检测接近车辆的速度并显示建议速度值。</w:t>
      </w:r>
    </w:p>
    <w:p w14:paraId="6A4F114D">
      <w:pPr>
        <w:pStyle w:val="4"/>
        <w:bidi w:val="0"/>
        <w:spacing w:before="120" w:after="120" w:line="360" w:lineRule="auto"/>
        <w:ind w:firstLine="480"/>
        <w:jc w:val="both"/>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针对兴奋需求中的“动态流量显示”和“社会规范可视化”，案例研究发现了若干创新实践。荷兰鹿特丹伊拉斯姆斯大学开发的实时流量地图系统，通过在主要路口设置LED屏幕显示当前各路段的拥挤程度，使用红黄绿三色进行编码，帮助使用者选择最优路径。更具创新性的是丹麦哥本哈根大学的“绿色出行计数器”，该装置实时统计通过某路段的自行车数量，并换算为减少的碳排放量进行显示，</w:t>
      </w:r>
      <w:r>
        <w:rPr>
          <w:rFonts w:hint="eastAsia" w:ascii="Times New Roman" w:hAnsi="Times New Roman" w:cs="Times New Roman"/>
          <w:color w:val="000000"/>
          <w:sz w:val="24"/>
          <w:szCs w:val="24"/>
          <w:lang w:val="en-US" w:eastAsia="zh-CN"/>
        </w:rPr>
        <w:t>此类</w:t>
      </w:r>
      <w:r>
        <w:rPr>
          <w:rFonts w:ascii="Times New Roman" w:hAnsi="Times New Roman" w:eastAsia="宋体" w:cs="Times New Roman"/>
          <w:color w:val="000000"/>
          <w:sz w:val="24"/>
          <w:szCs w:val="24"/>
        </w:rPr>
        <w:t>社会规范的可视化呈现激发了使用者的环保意识和集体荣誉感。数据显示，安装计数器后该路段的自行车流量增加了18%，违规占道行为减少了34%。</w:t>
      </w:r>
    </w:p>
    <w:p>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本研究对提取的64种安全引导策略单元进行了综合评估（如表27所示）。评估框架包含五个维度：用户接受度、实施成本、技术难度、维护便利性和环境适应性。每个维度采用十分制评分，由12名专家（包括交通工程师、视觉设计师、校园管理者）独立评分后取平均值。评估结果显示，色彩分区策略在用户接受度方面得分最高，标线界定策略在实施成本方面最优，而动态流量显示虽然用户期待度高但技术难度和成本相对较高。这些量化数据为后续的策略筛选和优先级排序提供了科学依据。</w:t>
      </w:r>
    </w:p>
    <w:p w14:paraId="14EDAB8B">
      <w:pPr>
        <w:pStyle w:val="4"/>
        <w:bidi w:val="0"/>
        <w:spacing w:before="120" w:after="120" w:line="240" w:lineRule="auto"/>
        <w:ind w:firstLine="480"/>
        <w:jc w:val="both"/>
        <w:rPr>
          <w:rFonts w:ascii="Times New Roman" w:hAnsi="Times New Roman" w:eastAsia="宋体" w:cs="Times New Roman"/>
          <w:color w:val="000000"/>
          <w:sz w:val="22"/>
          <w:szCs w:val="22"/>
        </w:rPr>
      </w:pPr>
    </w:p>
    <w:p>
      <w:pPr>
        <w:pStyle w:val="4"/>
        <w:keepNext w:val="0"/>
        <w:keepLines w:val="0"/>
        <w:pageBreakBefore w:val="0"/>
        <w:widowControl/>
        <w:kinsoku/>
        <w:wordWrap/>
        <w:overflowPunct/>
        <w:topLinePunct w:val="0"/>
        <w:autoSpaceDE/>
        <w:autoSpaceDN/>
        <w:bidi w:val="0"/>
        <w:adjustRightInd/>
        <w:snapToGrid/>
        <w:spacing w:after="0"/>
        <w:ind w:left="0" w:leftChars="0" w:firstLine="480" w:firstLineChars="200"/>
        <w:jc w:val="center"/>
        <w:textAlignment w:val="auto"/>
        <w:rPr>
          <w:rFonts w:hint="eastAsia" w:ascii="Times New Roman" w:hAnsi="Times New Roman" w:eastAsia="宋体" w:cs="Times New Roman"/>
          <w:b w:val="0"/>
          <w:color w:val="000000"/>
          <w:kern w:val="0"/>
          <w:sz w:val="24"/>
          <w:szCs w:val="24"/>
          <w:lang w:val="en-US" w:eastAsia="zh-CN" w:bidi="ar"/>
        </w:rPr>
      </w:pPr>
      <w:r>
        <w:rPr>
          <w:rFonts w:hint="default" w:ascii="Times New Roman" w:hAnsi="Times New Roman" w:cs="Times New Roman"/>
          <w:lang w:val="en-US" w:eastAsia="zh-CN"/>
        </w:rPr>
        <w:t xml:space="preserve">表27 面向高校共享道路主要参与者的14项需求的安全引导策略提取统计</w:t>
      </w:r>
    </w:p>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80"/>
        <w:gridCol w:w="2296"/>
        <w:gridCol w:w="1205"/>
        <w:gridCol w:w="964"/>
      </w:tblGrid>
      <w:tr w14:paraId="1A561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4" w:space="0"/>
              <w:left w:val="nil"/>
              <w:bottom w:val="single" w:color="000000" w:sz="12" w:space="0"/>
              <w:right w:val="nil"/>
            </w:tcBorders>
            <w:shd w:val="clear" w:color="auto" w:fill="FFFFFF"/>
            <w:vAlign w:val="center"/>
          </w:tcPr>
          <w:p w14:paraId="3CE1997E">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需求项目</w:t>
            </w:r>
          </w:p>
        </w:tc>
        <w:tc>
          <w:tcPr>
            <w:tcW w:w="0" w:type="auto"/>
            <w:tcBorders>
              <w:top w:val="single" w:color="000000" w:sz="4" w:space="0"/>
              <w:left w:val="nil"/>
              <w:bottom w:val="single" w:color="000000" w:sz="12" w:space="0"/>
              <w:right w:val="nil"/>
            </w:tcBorders>
            <w:shd w:val="clear" w:color="auto" w:fill="FFFFFF"/>
            <w:vAlign w:val="center"/>
          </w:tcPr>
          <w:p w14:paraId="57C37773">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高频策略</w:t>
            </w:r>
          </w:p>
        </w:tc>
        <w:tc>
          <w:tcPr>
            <w:tcW w:w="0" w:type="auto"/>
            <w:tcBorders>
              <w:top w:val="single" w:color="000000" w:sz="4" w:space="0"/>
              <w:left w:val="nil"/>
              <w:bottom w:val="single" w:color="000000" w:sz="12" w:space="0"/>
              <w:right w:val="nil"/>
            </w:tcBorders>
            <w:shd w:val="clear" w:color="auto" w:fill="FFFFFF"/>
            <w:vAlign w:val="center"/>
          </w:tcPr>
          <w:p w14:paraId="5CAEAA5F">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案例引用率</w:t>
            </w:r>
          </w:p>
        </w:tc>
        <w:tc>
          <w:tcPr>
            <w:tcW w:w="0" w:type="auto"/>
            <w:tcBorders>
              <w:top w:val="single" w:color="000000" w:sz="4" w:space="0"/>
              <w:left w:val="nil"/>
              <w:bottom w:val="single" w:color="000000" w:sz="12" w:space="0"/>
              <w:right w:val="nil"/>
            </w:tcBorders>
            <w:shd w:val="clear" w:color="auto" w:fill="FFFFFF"/>
            <w:vAlign w:val="center"/>
          </w:tcPr>
          <w:p w14:paraId="053E7668">
            <w:pPr>
              <w:keepNext w:val="0"/>
              <w:keepLines w:val="0"/>
              <w:widowControl/>
              <w:suppressLineNumbers w:val="0"/>
              <w:jc w:val="center"/>
              <w:rPr>
                <w:rFonts w:hint="eastAsia"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效果评级</w:t>
            </w:r>
          </w:p>
        </w:tc>
      </w:tr>
      <w:tr w14:paraId="60D6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single" w:color="000000" w:sz="12" w:space="0"/>
              <w:left w:val="nil"/>
              <w:bottom w:val="nil"/>
              <w:right w:val="nil"/>
            </w:tcBorders>
            <w:shd w:val="clear" w:color="auto" w:fill="FFFFFF"/>
            <w:vAlign w:val="center"/>
          </w:tcPr>
          <w:p w14:paraId="10AA1AC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清晰的路权划分</w:t>
            </w:r>
          </w:p>
        </w:tc>
        <w:tc>
          <w:tcPr>
            <w:tcW w:w="0" w:type="auto"/>
            <w:tcBorders>
              <w:top w:val="single" w:color="000000" w:sz="12" w:space="0"/>
              <w:left w:val="nil"/>
              <w:bottom w:val="nil"/>
              <w:right w:val="nil"/>
            </w:tcBorders>
            <w:shd w:val="clear" w:color="auto" w:fill="FFFFFF"/>
            <w:vAlign w:val="center"/>
          </w:tcPr>
          <w:p w14:paraId="48AED90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色彩分区+标线界定</w:t>
            </w:r>
          </w:p>
        </w:tc>
        <w:tc>
          <w:tcPr>
            <w:tcW w:w="0" w:type="auto"/>
            <w:tcBorders>
              <w:top w:val="single" w:color="000000" w:sz="12" w:space="0"/>
              <w:left w:val="nil"/>
              <w:bottom w:val="nil"/>
              <w:right w:val="nil"/>
            </w:tcBorders>
            <w:shd w:val="clear" w:color="auto" w:fill="FFFFFF"/>
            <w:vAlign w:val="center"/>
          </w:tcPr>
          <w:p w14:paraId="0B3841D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95%</w:t>
            </w:r>
          </w:p>
        </w:tc>
        <w:tc>
          <w:tcPr>
            <w:tcW w:w="0" w:type="auto"/>
            <w:tcBorders>
              <w:top w:val="single" w:color="000000" w:sz="12" w:space="0"/>
              <w:left w:val="nil"/>
              <w:bottom w:val="nil"/>
              <w:right w:val="nil"/>
            </w:tcBorders>
            <w:shd w:val="clear" w:color="auto" w:fill="FFFFFF"/>
            <w:vAlign w:val="center"/>
          </w:tcPr>
          <w:p w14:paraId="1A70596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8.7/10</w:t>
            </w:r>
          </w:p>
        </w:tc>
      </w:tr>
      <w:tr w14:paraId="33508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09C506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交叉口冲突标注</w:t>
            </w:r>
          </w:p>
        </w:tc>
        <w:tc>
          <w:tcPr>
            <w:tcW w:w="0" w:type="auto"/>
            <w:tcBorders>
              <w:top w:val="nil"/>
              <w:left w:val="nil"/>
              <w:bottom w:val="nil"/>
              <w:right w:val="nil"/>
            </w:tcBorders>
            <w:shd w:val="clear" w:color="auto" w:fill="FFFFFF"/>
            <w:vAlign w:val="center"/>
          </w:tcPr>
          <w:p w14:paraId="4580E18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冲突点标识+警示色块</w:t>
            </w:r>
          </w:p>
        </w:tc>
        <w:tc>
          <w:tcPr>
            <w:tcW w:w="0" w:type="auto"/>
            <w:tcBorders>
              <w:top w:val="nil"/>
              <w:left w:val="nil"/>
              <w:bottom w:val="nil"/>
              <w:right w:val="nil"/>
            </w:tcBorders>
            <w:shd w:val="clear" w:color="auto" w:fill="FFFFFF"/>
            <w:vAlign w:val="center"/>
          </w:tcPr>
          <w:p w14:paraId="3F3CC7C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w:t>
            </w:r>
          </w:p>
        </w:tc>
        <w:tc>
          <w:tcPr>
            <w:tcW w:w="0" w:type="auto"/>
            <w:tcBorders>
              <w:top w:val="nil"/>
              <w:left w:val="nil"/>
              <w:bottom w:val="nil"/>
              <w:right w:val="nil"/>
            </w:tcBorders>
            <w:shd w:val="clear" w:color="auto" w:fill="FFFFFF"/>
            <w:vAlign w:val="center"/>
          </w:tcPr>
          <w:p w14:paraId="229B46A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8.2/10</w:t>
            </w:r>
          </w:p>
        </w:tc>
      </w:tr>
      <w:tr w14:paraId="4E90F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EA8F15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夜间可见性保障</w:t>
            </w:r>
          </w:p>
        </w:tc>
        <w:tc>
          <w:tcPr>
            <w:tcW w:w="0" w:type="auto"/>
            <w:tcBorders>
              <w:top w:val="nil"/>
              <w:left w:val="nil"/>
              <w:bottom w:val="nil"/>
              <w:right w:val="nil"/>
            </w:tcBorders>
            <w:shd w:val="clear" w:color="auto" w:fill="FFFFFF"/>
            <w:vAlign w:val="center"/>
          </w:tcPr>
          <w:p w14:paraId="64E1EDE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反光材料+地面照明</w:t>
            </w:r>
          </w:p>
        </w:tc>
        <w:tc>
          <w:tcPr>
            <w:tcW w:w="0" w:type="auto"/>
            <w:tcBorders>
              <w:top w:val="nil"/>
              <w:left w:val="nil"/>
              <w:bottom w:val="nil"/>
              <w:right w:val="nil"/>
            </w:tcBorders>
            <w:shd w:val="clear" w:color="auto" w:fill="FFFFFF"/>
            <w:vAlign w:val="center"/>
          </w:tcPr>
          <w:p w14:paraId="73A2C8B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w:t>
            </w:r>
          </w:p>
        </w:tc>
        <w:tc>
          <w:tcPr>
            <w:tcW w:w="0" w:type="auto"/>
            <w:tcBorders>
              <w:top w:val="nil"/>
              <w:left w:val="nil"/>
              <w:bottom w:val="nil"/>
              <w:right w:val="nil"/>
            </w:tcBorders>
            <w:shd w:val="clear" w:color="auto" w:fill="FFFFFF"/>
            <w:vAlign w:val="center"/>
          </w:tcPr>
          <w:p w14:paraId="29545509">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8.4/10</w:t>
            </w:r>
          </w:p>
        </w:tc>
      </w:tr>
      <w:tr w14:paraId="37B52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8A7AFC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标识适配性</w:t>
            </w:r>
          </w:p>
        </w:tc>
        <w:tc>
          <w:tcPr>
            <w:tcW w:w="0" w:type="auto"/>
            <w:tcBorders>
              <w:top w:val="nil"/>
              <w:left w:val="nil"/>
              <w:bottom w:val="nil"/>
              <w:right w:val="nil"/>
            </w:tcBorders>
            <w:shd w:val="clear" w:color="auto" w:fill="FFFFFF"/>
            <w:vAlign w:val="center"/>
          </w:tcPr>
          <w:p w14:paraId="25FFD72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图形化+多语言</w:t>
            </w:r>
          </w:p>
        </w:tc>
        <w:tc>
          <w:tcPr>
            <w:tcW w:w="0" w:type="auto"/>
            <w:tcBorders>
              <w:top w:val="nil"/>
              <w:left w:val="nil"/>
              <w:bottom w:val="nil"/>
              <w:right w:val="nil"/>
            </w:tcBorders>
            <w:shd w:val="clear" w:color="auto" w:fill="FFFFFF"/>
            <w:vAlign w:val="center"/>
          </w:tcPr>
          <w:p w14:paraId="1F0C6DC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70%</w:t>
            </w:r>
          </w:p>
        </w:tc>
        <w:tc>
          <w:tcPr>
            <w:tcW w:w="0" w:type="auto"/>
            <w:tcBorders>
              <w:top w:val="nil"/>
              <w:left w:val="nil"/>
              <w:bottom w:val="nil"/>
              <w:right w:val="nil"/>
            </w:tcBorders>
            <w:shd w:val="clear" w:color="auto" w:fill="FFFFFF"/>
            <w:vAlign w:val="center"/>
          </w:tcPr>
          <w:p w14:paraId="5C58A9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7.8/10</w:t>
            </w:r>
          </w:p>
        </w:tc>
      </w:tr>
      <w:tr w14:paraId="2E200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E1B5A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盲区提示</w:t>
            </w:r>
          </w:p>
        </w:tc>
        <w:tc>
          <w:tcPr>
            <w:tcW w:w="0" w:type="auto"/>
            <w:tcBorders>
              <w:top w:val="nil"/>
              <w:left w:val="nil"/>
              <w:bottom w:val="nil"/>
              <w:right w:val="nil"/>
            </w:tcBorders>
            <w:shd w:val="clear" w:color="auto" w:fill="FFFFFF"/>
            <w:vAlign w:val="center"/>
          </w:tcPr>
          <w:p w14:paraId="181916D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警示标识+镜面辅助</w:t>
            </w:r>
          </w:p>
        </w:tc>
        <w:tc>
          <w:tcPr>
            <w:tcW w:w="0" w:type="auto"/>
            <w:tcBorders>
              <w:top w:val="nil"/>
              <w:left w:val="nil"/>
              <w:bottom w:val="nil"/>
              <w:right w:val="nil"/>
            </w:tcBorders>
            <w:shd w:val="clear" w:color="auto" w:fill="FFFFFF"/>
            <w:vAlign w:val="center"/>
          </w:tcPr>
          <w:p w14:paraId="4A64DA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55%</w:t>
            </w:r>
          </w:p>
        </w:tc>
        <w:tc>
          <w:tcPr>
            <w:tcW w:w="0" w:type="auto"/>
            <w:tcBorders>
              <w:top w:val="nil"/>
              <w:left w:val="nil"/>
              <w:bottom w:val="nil"/>
              <w:right w:val="nil"/>
            </w:tcBorders>
            <w:shd w:val="clear" w:color="auto" w:fill="FFFFFF"/>
            <w:vAlign w:val="center"/>
          </w:tcPr>
          <w:p w14:paraId="13E88D4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7.5/10</w:t>
            </w:r>
          </w:p>
        </w:tc>
      </w:tr>
      <w:tr w14:paraId="5A540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E8143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速度警示</w:t>
            </w:r>
          </w:p>
        </w:tc>
        <w:tc>
          <w:tcPr>
            <w:tcW w:w="0" w:type="auto"/>
            <w:tcBorders>
              <w:top w:val="nil"/>
              <w:left w:val="nil"/>
              <w:bottom w:val="nil"/>
              <w:right w:val="nil"/>
            </w:tcBorders>
            <w:shd w:val="clear" w:color="auto" w:fill="FFFFFF"/>
            <w:vAlign w:val="center"/>
          </w:tcPr>
          <w:p w14:paraId="7853037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减速标线+警示牌</w:t>
            </w:r>
          </w:p>
        </w:tc>
        <w:tc>
          <w:tcPr>
            <w:tcW w:w="0" w:type="auto"/>
            <w:tcBorders>
              <w:top w:val="nil"/>
              <w:left w:val="nil"/>
              <w:bottom w:val="nil"/>
              <w:right w:val="nil"/>
            </w:tcBorders>
            <w:shd w:val="clear" w:color="auto" w:fill="FFFFFF"/>
            <w:vAlign w:val="center"/>
          </w:tcPr>
          <w:p w14:paraId="5598A86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w:t>
            </w:r>
          </w:p>
        </w:tc>
        <w:tc>
          <w:tcPr>
            <w:tcW w:w="0" w:type="auto"/>
            <w:tcBorders>
              <w:top w:val="nil"/>
              <w:left w:val="nil"/>
              <w:bottom w:val="nil"/>
              <w:right w:val="nil"/>
            </w:tcBorders>
            <w:shd w:val="clear" w:color="auto" w:fill="FFFFFF"/>
            <w:vAlign w:val="center"/>
          </w:tcPr>
          <w:p w14:paraId="43D5432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8.1/10</w:t>
            </w:r>
          </w:p>
        </w:tc>
      </w:tr>
      <w:tr w14:paraId="536CCA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15466C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推荐速度提示</w:t>
            </w:r>
          </w:p>
        </w:tc>
        <w:tc>
          <w:tcPr>
            <w:tcW w:w="0" w:type="auto"/>
            <w:tcBorders>
              <w:top w:val="nil"/>
              <w:left w:val="nil"/>
              <w:bottom w:val="nil"/>
              <w:right w:val="nil"/>
            </w:tcBorders>
            <w:shd w:val="clear" w:color="auto" w:fill="FFFFFF"/>
            <w:vAlign w:val="center"/>
          </w:tcPr>
          <w:p w14:paraId="1AF229DA">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动态显示+地面标识</w:t>
            </w:r>
          </w:p>
        </w:tc>
        <w:tc>
          <w:tcPr>
            <w:tcW w:w="0" w:type="auto"/>
            <w:tcBorders>
              <w:top w:val="nil"/>
              <w:left w:val="nil"/>
              <w:bottom w:val="nil"/>
              <w:right w:val="nil"/>
            </w:tcBorders>
            <w:shd w:val="clear" w:color="auto" w:fill="FFFFFF"/>
            <w:vAlign w:val="center"/>
          </w:tcPr>
          <w:p w14:paraId="2F9030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45%</w:t>
            </w:r>
          </w:p>
        </w:tc>
        <w:tc>
          <w:tcPr>
            <w:tcW w:w="0" w:type="auto"/>
            <w:tcBorders>
              <w:top w:val="nil"/>
              <w:left w:val="nil"/>
              <w:bottom w:val="nil"/>
              <w:right w:val="nil"/>
            </w:tcBorders>
            <w:shd w:val="clear" w:color="auto" w:fill="FFFFFF"/>
            <w:vAlign w:val="center"/>
          </w:tcPr>
          <w:p w14:paraId="01E37B4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7.9/10</w:t>
            </w:r>
          </w:p>
        </w:tc>
      </w:tr>
      <w:tr w14:paraId="03A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705D1FDE">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安全路径指引</w:t>
            </w:r>
          </w:p>
        </w:tc>
        <w:tc>
          <w:tcPr>
            <w:tcW w:w="0" w:type="auto"/>
            <w:tcBorders>
              <w:top w:val="nil"/>
              <w:left w:val="nil"/>
              <w:bottom w:val="nil"/>
              <w:right w:val="nil"/>
            </w:tcBorders>
            <w:shd w:val="clear" w:color="auto" w:fill="FFFFFF"/>
            <w:vAlign w:val="center"/>
          </w:tcPr>
          <w:p w14:paraId="619B13A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连续标识+箭头系统</w:t>
            </w:r>
          </w:p>
        </w:tc>
        <w:tc>
          <w:tcPr>
            <w:tcW w:w="0" w:type="auto"/>
            <w:tcBorders>
              <w:top w:val="nil"/>
              <w:left w:val="nil"/>
              <w:bottom w:val="nil"/>
              <w:right w:val="nil"/>
            </w:tcBorders>
            <w:shd w:val="clear" w:color="auto" w:fill="FFFFFF"/>
            <w:vAlign w:val="center"/>
          </w:tcPr>
          <w:p w14:paraId="28BF043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65%</w:t>
            </w:r>
          </w:p>
        </w:tc>
        <w:tc>
          <w:tcPr>
            <w:tcW w:w="0" w:type="auto"/>
            <w:tcBorders>
              <w:top w:val="nil"/>
              <w:left w:val="nil"/>
              <w:bottom w:val="nil"/>
              <w:right w:val="nil"/>
            </w:tcBorders>
            <w:shd w:val="clear" w:color="auto" w:fill="FFFFFF"/>
            <w:vAlign w:val="center"/>
          </w:tcPr>
          <w:p w14:paraId="6A125A9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8.0/10</w:t>
            </w:r>
          </w:p>
        </w:tc>
      </w:tr>
      <w:tr w14:paraId="3F31D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0B37E20">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分层信息呈现</w:t>
            </w:r>
          </w:p>
        </w:tc>
        <w:tc>
          <w:tcPr>
            <w:tcW w:w="0" w:type="auto"/>
            <w:tcBorders>
              <w:top w:val="nil"/>
              <w:left w:val="nil"/>
              <w:bottom w:val="nil"/>
              <w:right w:val="nil"/>
            </w:tcBorders>
            <w:shd w:val="clear" w:color="auto" w:fill="FFFFFF"/>
            <w:vAlign w:val="center"/>
          </w:tcPr>
          <w:p w14:paraId="1D9DF8BF">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三级信息架构</w:t>
            </w:r>
          </w:p>
        </w:tc>
        <w:tc>
          <w:tcPr>
            <w:tcW w:w="0" w:type="auto"/>
            <w:tcBorders>
              <w:top w:val="nil"/>
              <w:left w:val="nil"/>
              <w:bottom w:val="nil"/>
              <w:right w:val="nil"/>
            </w:tcBorders>
            <w:shd w:val="clear" w:color="auto" w:fill="FFFFFF"/>
            <w:vAlign w:val="center"/>
          </w:tcPr>
          <w:p w14:paraId="11A15B52">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60%</w:t>
            </w:r>
          </w:p>
        </w:tc>
        <w:tc>
          <w:tcPr>
            <w:tcW w:w="0" w:type="auto"/>
            <w:tcBorders>
              <w:top w:val="nil"/>
              <w:left w:val="nil"/>
              <w:bottom w:val="nil"/>
              <w:right w:val="nil"/>
            </w:tcBorders>
            <w:shd w:val="clear" w:color="auto" w:fill="FFFFFF"/>
            <w:vAlign w:val="center"/>
          </w:tcPr>
          <w:p w14:paraId="67A9E41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8.3/10</w:t>
            </w:r>
          </w:p>
        </w:tc>
      </w:tr>
      <w:tr w14:paraId="18B47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243EA76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动态流量显示</w:t>
            </w:r>
          </w:p>
        </w:tc>
        <w:tc>
          <w:tcPr>
            <w:tcW w:w="0" w:type="auto"/>
            <w:tcBorders>
              <w:top w:val="nil"/>
              <w:left w:val="nil"/>
              <w:bottom w:val="nil"/>
              <w:right w:val="nil"/>
            </w:tcBorders>
            <w:shd w:val="clear" w:color="auto" w:fill="FFFFFF"/>
            <w:vAlign w:val="center"/>
          </w:tcPr>
          <w:p w14:paraId="2AF9A2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LED屏+色彩编码</w:t>
            </w:r>
          </w:p>
        </w:tc>
        <w:tc>
          <w:tcPr>
            <w:tcW w:w="0" w:type="auto"/>
            <w:tcBorders>
              <w:top w:val="nil"/>
              <w:left w:val="nil"/>
              <w:bottom w:val="nil"/>
              <w:right w:val="nil"/>
            </w:tcBorders>
            <w:shd w:val="clear" w:color="auto" w:fill="FFFFFF"/>
            <w:vAlign w:val="center"/>
          </w:tcPr>
          <w:p w14:paraId="32390EC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35%</w:t>
            </w:r>
          </w:p>
        </w:tc>
        <w:tc>
          <w:tcPr>
            <w:tcW w:w="0" w:type="auto"/>
            <w:tcBorders>
              <w:top w:val="nil"/>
              <w:left w:val="nil"/>
              <w:bottom w:val="nil"/>
              <w:right w:val="nil"/>
            </w:tcBorders>
            <w:shd w:val="clear" w:color="auto" w:fill="FFFFFF"/>
            <w:vAlign w:val="center"/>
          </w:tcPr>
          <w:p w14:paraId="6305357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7.6/10</w:t>
            </w:r>
          </w:p>
        </w:tc>
      </w:tr>
      <w:tr w14:paraId="5999D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3948C3E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社会规范可视化</w:t>
            </w:r>
          </w:p>
        </w:tc>
        <w:tc>
          <w:tcPr>
            <w:tcW w:w="0" w:type="auto"/>
            <w:tcBorders>
              <w:top w:val="nil"/>
              <w:left w:val="nil"/>
              <w:bottom w:val="nil"/>
              <w:right w:val="nil"/>
            </w:tcBorders>
            <w:shd w:val="clear" w:color="auto" w:fill="FFFFFF"/>
            <w:vAlign w:val="center"/>
          </w:tcPr>
          <w:p w14:paraId="684C8C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计数器+排行榜</w:t>
            </w:r>
          </w:p>
        </w:tc>
        <w:tc>
          <w:tcPr>
            <w:tcW w:w="0" w:type="auto"/>
            <w:tcBorders>
              <w:top w:val="nil"/>
              <w:left w:val="nil"/>
              <w:bottom w:val="nil"/>
              <w:right w:val="nil"/>
            </w:tcBorders>
            <w:shd w:val="clear" w:color="auto" w:fill="FFFFFF"/>
            <w:vAlign w:val="center"/>
          </w:tcPr>
          <w:p w14:paraId="5B89256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25%</w:t>
            </w:r>
          </w:p>
        </w:tc>
        <w:tc>
          <w:tcPr>
            <w:tcW w:w="0" w:type="auto"/>
            <w:tcBorders>
              <w:top w:val="nil"/>
              <w:left w:val="nil"/>
              <w:bottom w:val="nil"/>
              <w:right w:val="nil"/>
            </w:tcBorders>
            <w:shd w:val="clear" w:color="auto" w:fill="FFFFFF"/>
            <w:vAlign w:val="center"/>
          </w:tcPr>
          <w:p w14:paraId="299C0B17">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7.4/10</w:t>
            </w:r>
          </w:p>
        </w:tc>
      </w:tr>
      <w:tr w14:paraId="30013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453F742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听觉辅助提示</w:t>
            </w:r>
          </w:p>
        </w:tc>
        <w:tc>
          <w:tcPr>
            <w:tcW w:w="0" w:type="auto"/>
            <w:tcBorders>
              <w:top w:val="nil"/>
              <w:left w:val="nil"/>
              <w:bottom w:val="nil"/>
              <w:right w:val="nil"/>
            </w:tcBorders>
            <w:shd w:val="clear" w:color="auto" w:fill="FFFFFF"/>
            <w:vAlign w:val="center"/>
          </w:tcPr>
          <w:p w14:paraId="151BFBE5">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感应语音+警示音</w:t>
            </w:r>
          </w:p>
        </w:tc>
        <w:tc>
          <w:tcPr>
            <w:tcW w:w="0" w:type="auto"/>
            <w:tcBorders>
              <w:top w:val="nil"/>
              <w:left w:val="nil"/>
              <w:bottom w:val="nil"/>
              <w:right w:val="nil"/>
            </w:tcBorders>
            <w:shd w:val="clear" w:color="auto" w:fill="FFFFFF"/>
            <w:vAlign w:val="center"/>
          </w:tcPr>
          <w:p w14:paraId="05C6EA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40%</w:t>
            </w:r>
          </w:p>
        </w:tc>
        <w:tc>
          <w:tcPr>
            <w:tcW w:w="0" w:type="auto"/>
            <w:tcBorders>
              <w:top w:val="nil"/>
              <w:left w:val="nil"/>
              <w:bottom w:val="nil"/>
              <w:right w:val="nil"/>
            </w:tcBorders>
            <w:shd w:val="clear" w:color="auto" w:fill="FFFFFF"/>
            <w:vAlign w:val="center"/>
          </w:tcPr>
          <w:p w14:paraId="5CEE1996">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7.2/10</w:t>
            </w:r>
          </w:p>
        </w:tc>
      </w:tr>
      <w:tr w14:paraId="7D9197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nil"/>
              <w:right w:val="nil"/>
            </w:tcBorders>
            <w:shd w:val="clear" w:color="auto" w:fill="FFFFFF"/>
            <w:vAlign w:val="center"/>
          </w:tcPr>
          <w:p w14:paraId="02BBE5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情感化设计元素</w:t>
            </w:r>
          </w:p>
        </w:tc>
        <w:tc>
          <w:tcPr>
            <w:tcW w:w="0" w:type="auto"/>
            <w:tcBorders>
              <w:top w:val="nil"/>
              <w:left w:val="nil"/>
              <w:bottom w:val="nil"/>
              <w:right w:val="nil"/>
            </w:tcBorders>
            <w:shd w:val="clear" w:color="auto" w:fill="FFFFFF"/>
            <w:vAlign w:val="center"/>
          </w:tcPr>
          <w:p w14:paraId="758CF89C">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趣味标识+互动装置</w:t>
            </w:r>
          </w:p>
        </w:tc>
        <w:tc>
          <w:tcPr>
            <w:tcW w:w="0" w:type="auto"/>
            <w:tcBorders>
              <w:top w:val="nil"/>
              <w:left w:val="nil"/>
              <w:bottom w:val="nil"/>
              <w:right w:val="nil"/>
            </w:tcBorders>
            <w:shd w:val="clear" w:color="auto" w:fill="FFFFFF"/>
            <w:vAlign w:val="center"/>
          </w:tcPr>
          <w:p w14:paraId="03011B0D">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50%</w:t>
            </w:r>
          </w:p>
        </w:tc>
        <w:tc>
          <w:tcPr>
            <w:tcW w:w="0" w:type="auto"/>
            <w:tcBorders>
              <w:top w:val="nil"/>
              <w:left w:val="nil"/>
              <w:bottom w:val="nil"/>
              <w:right w:val="nil"/>
            </w:tcBorders>
            <w:shd w:val="clear" w:color="auto" w:fill="FFFFFF"/>
            <w:vAlign w:val="center"/>
          </w:tcPr>
          <w:p w14:paraId="52AA756B">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7.7/10</w:t>
            </w:r>
          </w:p>
        </w:tc>
      </w:tr>
      <w:tr w14:paraId="66D19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3" w:hRule="atLeast"/>
          <w:jc w:val="center"/>
        </w:trPr>
        <w:tc>
          <w:tcPr>
            <w:tcW w:w="0" w:type="auto"/>
            <w:tcBorders>
              <w:top w:val="nil"/>
              <w:left w:val="nil"/>
              <w:bottom w:val="single" w:color="000000" w:sz="4" w:space="0"/>
              <w:right w:val="nil"/>
            </w:tcBorders>
            <w:shd w:val="clear" w:color="auto" w:fill="FFFFFF"/>
            <w:vAlign w:val="center"/>
          </w:tcPr>
          <w:p w14:paraId="33B2FDF8">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景观融合设计</w:t>
            </w:r>
          </w:p>
        </w:tc>
        <w:tc>
          <w:tcPr>
            <w:tcW w:w="0" w:type="auto"/>
            <w:tcBorders>
              <w:top w:val="nil"/>
              <w:left w:val="nil"/>
              <w:bottom w:val="single" w:color="000000" w:sz="4" w:space="0"/>
              <w:right w:val="nil"/>
            </w:tcBorders>
            <w:shd w:val="clear" w:color="auto" w:fill="FFFFFF"/>
            <w:vAlign w:val="center"/>
          </w:tcPr>
          <w:p w14:paraId="1E064243">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绿化整合+艺术化</w:t>
            </w:r>
          </w:p>
        </w:tc>
        <w:tc>
          <w:tcPr>
            <w:tcW w:w="0" w:type="auto"/>
            <w:tcBorders>
              <w:top w:val="nil"/>
              <w:left w:val="nil"/>
              <w:bottom w:val="single" w:color="000000" w:sz="4" w:space="0"/>
              <w:right w:val="nil"/>
            </w:tcBorders>
            <w:shd w:val="clear" w:color="auto" w:fill="FFFFFF"/>
            <w:vAlign w:val="center"/>
          </w:tcPr>
          <w:p w14:paraId="7C504BF4">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90%</w:t>
            </w:r>
          </w:p>
        </w:tc>
        <w:tc>
          <w:tcPr>
            <w:tcW w:w="0" w:type="auto"/>
            <w:tcBorders>
              <w:top w:val="nil"/>
              <w:left w:val="nil"/>
              <w:bottom w:val="single" w:color="000000" w:sz="4" w:space="0"/>
              <w:right w:val="nil"/>
            </w:tcBorders>
            <w:shd w:val="clear" w:color="auto" w:fill="FFFFFF"/>
            <w:vAlign w:val="center"/>
          </w:tcPr>
          <w:p w14:paraId="47DF2791">
            <w:pPr>
              <w:keepNext w:val="0"/>
              <w:keepLines w:val="0"/>
              <w:widowControl/>
              <w:suppressLineNumbers w:val="0"/>
              <w:jc w:val="center"/>
              <w:rPr>
                <w:rFonts w:hint="eastAsia" w:ascii="Times New Roman" w:hAnsi="Times New Roman" w:eastAsia="宋体" w:cs="Times New Roman"/>
                <w:b w:val="0"/>
                <w:color w:val="000000"/>
                <w:kern w:val="0"/>
                <w:sz w:val="24"/>
                <w:szCs w:val="24"/>
                <w:lang w:val="en-US" w:eastAsia="zh-CN" w:bidi="ar"/>
              </w:rPr>
            </w:pPr>
            <w:r>
              <w:rPr>
                <w:rFonts w:hint="eastAsia" w:ascii="Times New Roman" w:hAnsi="Times New Roman" w:eastAsia="宋体" w:cs="Times New Roman"/>
                <w:b w:val="0"/>
                <w:color w:val="000000"/>
                <w:kern w:val="0"/>
                <w:sz w:val="24"/>
                <w:szCs w:val="24"/>
                <w:lang w:val="en-US" w:eastAsia="zh-CN" w:bidi="ar"/>
              </w:rPr>
              <w:t>8.5/10</w:t>
            </w:r>
          </w:p>
        </w:tc>
      </w:tr>
    </w:tbl>
    <w:p w14:paraId="5E47B663">
      <w:pPr>
        <w:pStyle w:val="4"/>
        <w:bidi w:val="0"/>
        <w:spacing w:before="120" w:after="120" w:line="360" w:lineRule="auto"/>
        <w:ind w:firstLine="480"/>
        <w:jc w:val="both"/>
        <w:rPr>
          <w:rFonts w:hint="eastAsia" w:ascii="Times New Roman" w:hAnsi="Times New Roman" w:eastAsia="宋体" w:cs="Times New Roman"/>
          <w:color w:val="000000"/>
          <w:sz w:val="24"/>
          <w:szCs w:val="24"/>
          <w:lang w:val="en-US" w:eastAsia="zh-CN"/>
        </w:rPr>
      </w:pPr>
    </w:p>
    <w:p w14:paraId="1AEE29A0">
      <w:pPr>
        <w:pStyle w:val="4"/>
        <w:bidi w:val="0"/>
        <w:spacing w:before="120" w:after="120" w:line="360" w:lineRule="auto"/>
        <w:ind w:firstLine="48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综上所述，本研究基于Kano评估结果、案例引用率、效果评级、实施复杂度、</w:t>
      </w:r>
      <w:r>
        <w:rPr>
          <w:rFonts w:hint="eastAsia" w:ascii="Times New Roman" w:hAnsi="Times New Roman" w:cs="Times New Roman"/>
          <w:color w:val="000000"/>
          <w:sz w:val="24"/>
          <w:szCs w:val="24"/>
          <w:lang w:val="en-US" w:eastAsia="zh-CN"/>
        </w:rPr>
        <w:t>项目投入成本五</w:t>
      </w:r>
      <w:r>
        <w:rPr>
          <w:rFonts w:hint="eastAsia" w:ascii="Times New Roman" w:hAnsi="Times New Roman" w:eastAsia="宋体" w:cs="Times New Roman"/>
          <w:color w:val="000000"/>
          <w:sz w:val="24"/>
          <w:szCs w:val="24"/>
          <w:lang w:val="en-US" w:eastAsia="zh-CN"/>
        </w:rPr>
        <w:t>个维度进行综合评估，</w:t>
      </w:r>
      <w:r>
        <w:rPr>
          <w:rFonts w:hint="eastAsia" w:ascii="Times New Roman" w:hAnsi="Times New Roman" w:cs="Times New Roman"/>
          <w:color w:val="000000"/>
          <w:sz w:val="24"/>
          <w:szCs w:val="24"/>
          <w:lang w:val="en-US" w:eastAsia="zh-CN"/>
        </w:rPr>
        <w:t>本研究团队</w:t>
      </w:r>
      <w:r>
        <w:rPr>
          <w:rFonts w:hint="eastAsia" w:ascii="Times New Roman" w:hAnsi="Times New Roman" w:eastAsia="宋体" w:cs="Times New Roman"/>
          <w:color w:val="000000"/>
          <w:sz w:val="24"/>
          <w:szCs w:val="24"/>
          <w:lang w:val="en-US" w:eastAsia="zh-CN"/>
        </w:rPr>
        <w:t>筛选出最优的设计组合方案</w:t>
      </w:r>
      <w:r>
        <w:rPr>
          <w:rFonts w:hint="eastAsia" w:ascii="Times New Roman" w:hAnsi="Times New Roman" w:cs="Times New Roman"/>
          <w:color w:val="000000"/>
          <w:sz w:val="24"/>
          <w:szCs w:val="24"/>
          <w:lang w:val="en-US" w:eastAsia="zh-CN"/>
        </w:rPr>
        <w:t>，包括：“</w:t>
      </w:r>
      <w:r>
        <w:rPr>
          <w:rFonts w:hint="eastAsia" w:ascii="Times New Roman" w:hAnsi="Times New Roman" w:eastAsia="宋体" w:cs="Times New Roman"/>
          <w:color w:val="000000"/>
          <w:sz w:val="24"/>
          <w:szCs w:val="24"/>
          <w:lang w:val="en-US" w:eastAsia="zh-CN"/>
        </w:rPr>
        <w:t>清晰的路权划分</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w:t>
      </w:r>
      <w:r>
        <w:rPr>
          <w:rFonts w:hint="eastAsia" w:ascii="Times New Roman" w:hAnsi="Times New Roman"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夜间可见性保障</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交叉口冲突标注</w:t>
      </w:r>
      <w:r>
        <w:rPr>
          <w:rFonts w:hint="eastAsia" w:ascii="Times New Roman" w:hAnsi="Times New Roman" w:cs="Times New Roman"/>
          <w:color w:val="000000"/>
          <w:sz w:val="24"/>
          <w:szCs w:val="24"/>
          <w:lang w:val="en-US" w:eastAsia="zh-CN"/>
        </w:rPr>
        <w:t>”3项基本需求；“</w:t>
      </w:r>
      <w:r>
        <w:rPr>
          <w:rFonts w:hint="eastAsia" w:ascii="Times New Roman" w:hAnsi="Times New Roman" w:eastAsia="宋体" w:cs="Times New Roman"/>
          <w:color w:val="000000"/>
          <w:sz w:val="24"/>
          <w:szCs w:val="24"/>
          <w:lang w:val="en-US" w:eastAsia="zh-CN"/>
        </w:rPr>
        <w:t>速度警示</w:t>
      </w:r>
      <w:r>
        <w:rPr>
          <w:rFonts w:hint="eastAsia" w:ascii="Times New Roman" w:hAnsi="Times New Roman" w:cs="Times New Roman"/>
          <w:color w:val="000000"/>
          <w:sz w:val="24"/>
          <w:szCs w:val="24"/>
          <w:lang w:val="en-US" w:eastAsia="zh-CN"/>
        </w:rPr>
        <w:t>”及“</w:t>
      </w:r>
      <w:r>
        <w:rPr>
          <w:rFonts w:hint="eastAsia" w:ascii="Times New Roman" w:hAnsi="Times New Roman" w:eastAsia="宋体" w:cs="Times New Roman"/>
          <w:color w:val="000000"/>
          <w:sz w:val="24"/>
          <w:szCs w:val="24"/>
          <w:lang w:val="en-US" w:eastAsia="zh-CN"/>
        </w:rPr>
        <w:t>安全路径指引</w:t>
      </w:r>
      <w:r>
        <w:rPr>
          <w:rFonts w:hint="eastAsia" w:ascii="Times New Roman" w:hAnsi="Times New Roman" w:cs="Times New Roman"/>
          <w:color w:val="000000"/>
          <w:sz w:val="24"/>
          <w:szCs w:val="24"/>
          <w:lang w:val="en-US" w:eastAsia="zh-CN"/>
        </w:rPr>
        <w:t>”2项期望需求；“</w:t>
      </w:r>
      <w:r>
        <w:rPr>
          <w:rFonts w:hint="eastAsia" w:ascii="Times New Roman" w:hAnsi="Times New Roman" w:eastAsia="宋体" w:cs="Times New Roman"/>
          <w:color w:val="000000"/>
          <w:sz w:val="24"/>
          <w:szCs w:val="24"/>
          <w:lang w:val="en-US" w:eastAsia="zh-CN"/>
        </w:rPr>
        <w:t>景观融合设计</w:t>
      </w:r>
      <w:r>
        <w:rPr>
          <w:rFonts w:hint="eastAsia" w:ascii="Times New Roman" w:hAnsi="Times New Roman" w:cs="Times New Roman"/>
          <w:color w:val="000000"/>
          <w:sz w:val="24"/>
          <w:szCs w:val="24"/>
          <w:lang w:val="en-US" w:eastAsia="zh-CN"/>
        </w:rPr>
        <w:t>”1项兴奋需求。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安全引导设计原则的推导</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求清单本身尚不足以直接指导设计。14项需求彼此之间存在层级与依赖关系，若逐项对应地设置一种设施，其结果往往是信息的堆叠而非引导的形成。因此，在进入方案设计之前，需要先从需求清单中提炼出具有约束力的设计原则，使各项设施在同一套逻辑下协同工作。本研究依据需求的层级归属、需求之间的依赖关系，以及前期研究所揭示的行为机理与认知偏差特征，提炼出六条设计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一为路权先行原则。清晰的路权划分是其余需求得以成立的基础：只有当使用者能够确认自身所处的通行区域，盲区提示才有明确的指向，安全路径指引才有可依附的载体。因此，在实施顺序上应先建立空间归属，再叠加其他信息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二为决策点供给原则。信息应布设于使用者实际形成判断的位置，而非沿路径均匀铺设。前期研究表明，单纯增加标识数量对冲突率的改善有限，其原因正在于新增信息未能落在决策发生的时刻与地点。据此，标识的布点依据应当是冲突热点与视距受限位置，而非等间距的施工便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三为分层减负原则。人的即时信息处理容量有限，超出容量的信息不仅无法被利用，还会挤占本应用于关键判断的注意力资源。因此，系统采用三层信息架构：第一层为路权归属，以铺装色彩承载，供瞬时识别；第二层为方向与路径，以地面箭头与连续标识承载，供短时读取；第三层为状态与提示，以立面装置承载，供有停留条件时查阅。三层信息在视觉上分离，避免在同一视域内竞争注意力。</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四为冗余编码原则。关键信息不应依赖单一感知通道。这一原则在本设计中具有直接的量化依据：经计算，骑行区所用冷蓝色与行人区所用暖橙色之间的明度对比度仅为2.4∶1，低于图形要素通常要求的3∶1，这意味着二者的色相差异虽然明显，但对存在色觉障碍的使用者而言，仅凭色彩区分两个区域是不充分的。因此，色彩分区必须辅以白色实线边界与地面纹理差异，形成色彩、形态与触觉三重冗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五为全天候可用原则。系统应在日间、黄昏、夜间以及雨天等不同条件下保持可辨识。前期研究显示，照明水平对主观安全感知具有显著正向影响，而夜间可见性又属于基本需求，其缺失将直接引发不满，因此照明与反光性能须作为硬性指标而非可选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其六为场所融合原则。校园不同于城市道路，过度警示化的视觉语言会与校园环境的整体气质相冲突，也容易因长期暴露而产生感知钝化。因此，安全要素应在满足功能的前提下与校园景观协调，兴奋需求中的景观融合设计正是这一原则的体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六条原则与14项需求之间的映射关系如表28所示。该映射构成了由需求通向设计的中间环节，也是后续方案评价的依据。</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表28  安全引导设计原则与需求项的映射关系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200"/>
        <w:gridCol w:w="2500"/>
        <w:gridCol w:w="4796"/>
      </w:tblGrid>
      <w:tr>
        <w:trPr>
          <w:tblHeader/>
        </w:trPr>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设计原则</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所回应的需求项</w:t>
            </w:r>
          </w:p>
        </w:tc>
        <w:tc>
          <w:tcPr>
            <w:tcW w:w="4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对设计的具体约束</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路权先行</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清晰的路权划分、交叉口冲突标注</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先建立空间归属，其余信息层依附其上；实施顺序不可颠倒</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决策点供给</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盲区提示、速度警示、推荐速度提示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布点依据为冲突热点与视距受限位置，不作等间距布设</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分层减负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分层信息呈现、安全路径指引</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三层信息架构，同一视域内不并置两层以上信息</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冗余编码</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清晰的路权划分、标识适配性、听觉辅助提示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色彩须辅以形态与纹理；关键提示不依赖单一通道</w:t>
            </w:r>
          </w:p>
        </w:tc>
      </w:tr>
      <w:tr>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全天候可用</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夜间可见性保障、动态流量显示</w:t>
            </w:r>
          </w:p>
        </w:tc>
        <w:tc>
          <w:tcPr>
            <w:tcW w:w="4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照明与反光性能列为硬性指标，须覆盖日间至夜间全时段</w:t>
            </w:r>
          </w:p>
        </w:tc>
      </w:tr>
      <w:tr>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场所融合</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景观融合设计、情感化设计元素、社会规范可视化</w:t>
            </w:r>
          </w:p>
        </w:tc>
        <w:tc>
          <w:tcPr>
            <w:tcW w:w="4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在满足功能前提下与校园景观协调，避免过度警示化</w:t>
            </w:r>
          </w:p>
        </w:tc>
      </w:tr>
    </w:tbl>
    <w:p/>
    <w:p w14:paraId="47CD050A">
      <w:pPr>
        <w:pStyle w:val="2"/>
        <w:spacing w:before="100" w:after="480" w:line="400" w:lineRule="exact"/>
        <w:rPr>
          <w:rFonts w:hint="default" w:ascii="黑体" w:hAnsi="黑体" w:eastAsia="黑体"/>
          <w:b w:val="0"/>
          <w:bCs w:val="0"/>
          <w:sz w:val="30"/>
          <w:szCs w:val="30"/>
          <w:lang w:val="en-US" w:eastAsia="zh-CN"/>
        </w:rPr>
      </w:pPr>
      <w:r>
        <w:rPr>
          <w:rFonts w:hint="default" w:ascii="黑体" w:hAnsi="黑体" w:eastAsia="黑体"/>
          <w:b w:val="0"/>
          <w:bCs w:val="0"/>
          <w:sz w:val="30"/>
          <w:szCs w:val="30"/>
          <w:lang w:val="en-US" w:eastAsia="zh-CN"/>
        </w:rPr>
        <w:t>4.</w:t>
      </w:r>
      <w:r>
        <w:rPr>
          <w:rFonts w:hint="eastAsia" w:ascii="黑体" w:hAnsi="黑体" w:eastAsia="黑体"/>
          <w:b w:val="0"/>
          <w:bCs w:val="0"/>
          <w:sz w:val="30"/>
          <w:szCs w:val="30"/>
          <w:lang w:val="en-US" w:eastAsia="zh-CN"/>
        </w:rPr>
        <w:t>4</w:t>
      </w:r>
      <w:r>
        <w:rPr>
          <w:rFonts w:hint="default" w:ascii="黑体" w:hAnsi="黑体" w:eastAsia="黑体"/>
          <w:b w:val="0"/>
          <w:bCs w:val="0"/>
          <w:sz w:val="30"/>
          <w:szCs w:val="30"/>
          <w:lang w:val="en-US" w:eastAsia="zh-CN"/>
        </w:rPr>
        <w:t>.</w:t>
      </w:r>
      <w:r>
        <w:rPr>
          <w:rFonts w:hint="eastAsia" w:ascii="黑体" w:hAnsi="黑体" w:eastAsia="黑体"/>
          <w:b w:val="0"/>
          <w:bCs w:val="0"/>
          <w:sz w:val="30"/>
          <w:szCs w:val="30"/>
          <w:lang w:val="en-US" w:eastAsia="zh-CN"/>
        </w:rPr>
        <w:t>3高校</w:t>
      </w:r>
      <w:r>
        <w:rPr>
          <w:rFonts w:hint="default" w:ascii="黑体" w:hAnsi="黑体" w:eastAsia="黑体"/>
          <w:b w:val="0"/>
          <w:bCs w:val="0"/>
          <w:sz w:val="30"/>
          <w:szCs w:val="30"/>
          <w:lang w:val="en-US" w:eastAsia="zh-CN"/>
        </w:rPr>
        <w:t>共享道路安全</w:t>
      </w:r>
      <w:r>
        <w:rPr>
          <w:rFonts w:hint="eastAsia" w:ascii="黑体" w:hAnsi="黑体" w:eastAsia="黑体"/>
          <w:b w:val="0"/>
          <w:bCs w:val="0"/>
          <w:sz w:val="30"/>
          <w:szCs w:val="30"/>
          <w:lang w:val="en-US" w:eastAsia="zh-CN"/>
        </w:rPr>
        <w:t>引导</w:t>
      </w:r>
      <w:r>
        <w:rPr>
          <w:rFonts w:hint="default" w:ascii="黑体" w:hAnsi="黑体" w:eastAsia="黑体"/>
          <w:b w:val="0"/>
          <w:bCs w:val="0"/>
          <w:sz w:val="30"/>
          <w:szCs w:val="30"/>
          <w:lang w:val="en-US" w:eastAsia="zh-CN"/>
        </w:rPr>
        <w:t>系统设计</w:t>
      </w:r>
      <w:r>
        <w:rPr>
          <w:rFonts w:hint="eastAsia" w:ascii="黑体" w:hAnsi="黑体" w:eastAsia="黑体"/>
          <w:b w:val="0"/>
          <w:bCs w:val="0"/>
          <w:sz w:val="30"/>
          <w:szCs w:val="30"/>
          <w:lang w:val="en-US" w:eastAsia="zh-CN"/>
        </w:rPr>
        <w:t>与可用性评估</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设计方案的生成与择优</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在上述原则的约束下，本研究通过设计工作坊生成了三个方向不同的候选方案，并经专家评价择优确定实施方案。三个方案的差异不在于视觉风格，而在于对"路权应当以何种强度加以界定"这一问题的不同回答。</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A为强分隔型。该方案主张以物理手段确立路权，在行人区与骑行区之间设置连续的路缘石或隔离带，辅以独立的照明系统。其优势在于路权界定最为明确，冲突的发生概率可从空间上被直接压缩；其代价则是改造工程量大、对既有道路断面的改动明显，且在校园这类需要频繁横穿的场景中，连续隔离会显著降低通行的灵活性，甚至迫使使用者跨越隔离带而产生新的风险。</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B为色彩编码与动态提示结合型。该方案以铺装色彩确立路权归属，以标线与纹理形成边界，在冲突热点补充预警标识与动态信息装置。其优势在于对既有道路的改动较小、可分区段实施，且静态引导与动态提示形成互补；其挑战在于色彩方案的耐久性与动态装置的运行维护需要持续投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方案C为轻量标识型。该方案不改变路面铺装，仅通过增设标识牌、地面标线与反光道钉实现引导。其优势在于成本最低、施工周期最短、对校园日常运行的干扰最小；其局限则在于路权的界定强度不足，在人流密集时段标线易被遮挡，难以应对高峰期的冲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三个方案的评价采用德尔菲法与模糊综合评价相结合的方式。评价指标体系包含功能性、美观性、可实施性与成本效益四个维度，其权重经12位专家两轮打分确定，分别为0.35、0.15、0.30与0.20。功能性权重最高，反映了本课题以降低交通冲突为首要目标的定位；可实施性次之，体现了对校园改造条件约束的现实考量。各方案在四个维度上的得分由专家独立评分后取均值，采用十分制。评价结果如表29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表29  三个候选方案的模糊综合评价结果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900"/>
        <w:gridCol w:w="1000"/>
        <w:gridCol w:w="1800"/>
        <w:gridCol w:w="2700"/>
        <w:gridCol w:w="1096"/>
      </w:tblGrid>
      <w:tr>
        <w:trPr>
          <w:tblHeader/>
        </w:trPr>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评价维度</w:t>
            </w:r>
          </w:p>
        </w:tc>
        <w:tc>
          <w:tcPr>
            <w:tcW w:w="1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权重</w:t>
            </w:r>
          </w:p>
        </w:tc>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方案A 强分隔型</w:t>
            </w:r>
          </w:p>
        </w:tc>
        <w:tc>
          <w:tcPr>
            <w:tcW w:w="2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方案B 色彩编码与动态提示型</w:t>
            </w:r>
          </w:p>
        </w:tc>
        <w:tc>
          <w:tcPr>
            <w:tcW w:w="1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方案C 轻量标识型</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功能性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0.35</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7.1</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美观性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8.4</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可实施性</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9.0</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成本效益</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r>
      <w:tr>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加权综合得分</w:t>
            </w:r>
          </w:p>
        </w:tc>
        <w:tc>
          <w:tcPr>
            <w:tcW w:w="10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1.00</w:t>
            </w:r>
          </w:p>
        </w:tc>
        <w:tc>
          <w:tcPr>
            <w:tcW w:w="1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7.17</w:t>
            </w:r>
          </w:p>
        </w:tc>
        <w:tc>
          <w:tcPr>
            <w:tcW w:w="2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8.33</w:t>
            </w:r>
          </w:p>
        </w:tc>
        <w:tc>
          <w:tcPr>
            <w:tcW w:w="10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8.14</w:t>
            </w:r>
          </w:p>
        </w:tc>
      </w:tr>
      <w:tr>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排序</w:t>
            </w:r>
          </w:p>
        </w:tc>
        <w:tc>
          <w:tcPr>
            <w:tcW w:w="10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2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0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评价结果显示，方案B以8.33分居首，方案C以8.14分次之，方案A以7.17分列末。方案A的落后主要源于可实施性与成本效益两项，其功能性虽然得分不低，但在校园这一需要频繁横穿的场景中，连续物理隔离的适用性受到专家的普遍质疑。方案C虽然在实施成本上占优，且与方案B的差距并不悬殊，但其功能性得分明显偏低，专家意见集中指出，仅靠标识而不改变路面归属，难以应对高峰时段的路权竞争，而高峰时段恰恰是前期研究所识别出的冲突集中时段。</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研究确定以方案B作为实施方案，同时吸收方案C中成本控制的合理成分：在冲突热点区域采用完整的色彩编码与动态提示配置，在冲突频次较低的次要路段则简化为标线与反光标识，以此在效果与投入之间取得平衡。这一"分级配置"的思路，也构成了后文面向不同条件高校提出分层实施建议的基础。</w:t>
      </w:r>
    </w:p>
    <w:p w14:paraId="2C9E053A">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校园共享道路安全</w:t>
      </w:r>
      <w:r>
        <w:rPr>
          <w:rFonts w:hint="eastAsia" w:ascii="Times New Roman" w:hAnsi="Times New Roman" w:cs="Times New Roman"/>
          <w:color w:val="000000"/>
          <w:sz w:val="24"/>
          <w:szCs w:val="24"/>
          <w:lang w:val="en-US" w:eastAsia="zh-CN"/>
        </w:rPr>
        <w:t>引导</w:t>
      </w:r>
      <w:r>
        <w:rPr>
          <w:rFonts w:hint="eastAsia" w:ascii="Times New Roman" w:hAnsi="Times New Roman" w:eastAsia="宋体" w:cs="Times New Roman"/>
          <w:color w:val="000000"/>
          <w:sz w:val="24"/>
          <w:szCs w:val="24"/>
          <w:lang w:val="en-US" w:eastAsia="zh-CN"/>
        </w:rPr>
        <w:t>系统</w:t>
      </w:r>
      <w:r>
        <w:rPr>
          <w:rFonts w:hint="eastAsia" w:ascii="Times New Roman" w:hAnsi="Times New Roman" w:cs="Times New Roman"/>
          <w:color w:val="000000"/>
          <w:sz w:val="24"/>
          <w:szCs w:val="24"/>
          <w:lang w:val="en-US" w:eastAsia="zh-CN"/>
        </w:rPr>
        <w:t>涵盖共享道路标识系统设计与立面动态提示装置设计两部分内容，旨在构建“静态与动态”及“持续与即时”的互补协同关系。</w:t>
      </w:r>
    </w:p>
    <w:p w14:paraId="5C9D487B">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校园共享道路标识系统作为地面的视觉引导网络，采用了完备的设计方案（如图9与图10所示）。第一，借助冷蓝色骑行区、暖橙色行人区，搭配白色反光标线以及黄色凸起触感警示条，达成清晰的路权界定。第二，通过LED地埋灯带，以保障全天候夜间的可见性。第三，</w:t>
      </w:r>
      <w:r>
        <w:rPr>
          <w:rFonts w:ascii="宋体" w:hAnsi="宋体" w:eastAsia="宋体" w:cs="宋体"/>
          <w:sz w:val="24"/>
          <w:szCs w:val="24"/>
        </w:rPr>
        <w:t>在交叉口部署预警</w:t>
      </w:r>
      <w:r>
        <w:rPr>
          <w:rFonts w:hint="eastAsia" w:cs="宋体"/>
          <w:sz w:val="24"/>
          <w:szCs w:val="24"/>
          <w:lang w:val="en-US" w:eastAsia="zh-CN"/>
        </w:rPr>
        <w:t>标志</w:t>
      </w:r>
      <w:r>
        <w:rPr>
          <w:rFonts w:hint="eastAsia" w:cs="宋体"/>
          <w:sz w:val="24"/>
          <w:szCs w:val="24"/>
          <w:lang w:eastAsia="zh-CN"/>
        </w:rPr>
        <w:t>，</w:t>
      </w:r>
      <w:r>
        <w:rPr>
          <w:rFonts w:hint="eastAsia" w:cs="宋体"/>
          <w:sz w:val="24"/>
          <w:szCs w:val="24"/>
          <w:lang w:val="en-US" w:eastAsia="zh-CN"/>
        </w:rPr>
        <w:t>包括在路面绘制</w:t>
      </w:r>
      <w:r>
        <w:rPr>
          <w:rFonts w:ascii="宋体" w:hAnsi="宋体" w:eastAsia="宋体" w:cs="宋体"/>
          <w:sz w:val="24"/>
          <w:szCs w:val="24"/>
        </w:rPr>
        <w:t>黄色菱形警示色块</w:t>
      </w:r>
      <w:r>
        <w:rPr>
          <w:rFonts w:hint="eastAsia" w:cs="宋体"/>
          <w:sz w:val="24"/>
          <w:szCs w:val="24"/>
          <w:lang w:val="en-US" w:eastAsia="zh-CN"/>
        </w:rPr>
        <w:t>及</w:t>
      </w:r>
      <w:r>
        <w:rPr>
          <w:rFonts w:ascii="宋体" w:hAnsi="宋体" w:eastAsia="宋体" w:cs="宋体"/>
          <w:sz w:val="24"/>
          <w:szCs w:val="24"/>
        </w:rPr>
        <w:t>冲突点红色标识</w:t>
      </w:r>
      <w:r>
        <w:rPr>
          <w:rFonts w:hint="eastAsia" w:cs="宋体"/>
          <w:sz w:val="24"/>
          <w:szCs w:val="24"/>
          <w:lang w:eastAsia="zh-CN"/>
        </w:rPr>
        <w:t>。</w:t>
      </w:r>
      <w:r>
        <w:rPr>
          <w:rFonts w:hint="eastAsia" w:ascii="Times New Roman" w:hAnsi="Times New Roman" w:cs="Times New Roman"/>
          <w:color w:val="000000"/>
          <w:sz w:val="24"/>
          <w:szCs w:val="24"/>
          <w:lang w:val="en-US" w:eastAsia="zh-CN"/>
        </w:rPr>
        <w:t>第四，利用渐进减速标线，搭配每间隔100米设置一处的静态限速标识牌，实现基于视觉诱导的速度警示。第五，构建三层级路径引导网络，在地面上绘制路径方向箭头，实现连续的安全路径指引。第六，在共享道路中运用缓坡种植耐踩踏草坪作为减速带，实现功能与景观的融合式设计。</w:t>
      </w:r>
    </w:p>
    <w:p w14:paraId="4C7D2D97">
      <w:pPr>
        <w:pStyle w:val="4"/>
        <w:bidi w:val="0"/>
        <w:spacing w:before="120" w:after="120" w:line="360" w:lineRule="auto"/>
        <w:ind w:firstLine="480"/>
        <w:jc w:val="center"/>
        <w:rPr>
          <w:rFonts w:hint="eastAsia" w:ascii="Times New Roman" w:hAnsi="Times New Roman" w:cs="Times New Roman"/>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7456" behindDoc="0" locked="0" layoutInCell="1" allowOverlap="1">
            <wp:simplePos x="0" y="0"/>
            <wp:positionH relativeFrom="column">
              <wp:posOffset>1133475</wp:posOffset>
            </wp:positionH>
            <wp:positionV relativeFrom="paragraph">
              <wp:posOffset>41910</wp:posOffset>
            </wp:positionV>
            <wp:extent cx="3072130" cy="2305050"/>
            <wp:effectExtent l="0" t="0" r="6350" b="11430"/>
            <wp:wrapTopAndBottom/>
            <wp:docPr id="8" name="图片 8" descr="C:/Users/zm/Desktop/b15b971c03a9bb4317d3eb5e3ecc09eb709766b84c4af8eb5f871f395e148472.pngb15b971c03a9bb4317d3eb5e3ecc09eb709766b84c4af8eb5f871f395e14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zm/Desktop/b15b971c03a9bb4317d3eb5e3ecc09eb709766b84c4af8eb5f871f395e148472.pngb15b971c03a9bb4317d3eb5e3ecc09eb709766b84c4af8eb5f871f395e148472"/>
                    <pic:cNvPicPr>
                      <a:picLocks noChangeAspect="1"/>
                    </pic:cNvPicPr>
                  </pic:nvPicPr>
                  <pic:blipFill>
                    <a:blip r:embed="rId15"/>
                    <a:srcRect l="19" r="19"/>
                    <a:stretch>
                      <a:fillRect/>
                    </a:stretch>
                  </pic:blipFill>
                  <pic:spPr>
                    <a:xfrm>
                      <a:off x="0" y="0"/>
                      <a:ext cx="3072130" cy="2305050"/>
                    </a:xfrm>
                    <a:prstGeom prst="rect">
                      <a:avLst/>
                    </a:prstGeom>
                  </pic:spPr>
                </pic:pic>
              </a:graphicData>
            </a:graphic>
          </wp:anchor>
        </w:drawing>
      </w:r>
      <w:r>
        <w:rPr>
          <w:rFonts w:hint="eastAsia" w:ascii="Times New Roman" w:hAnsi="Times New Roman" w:cs="Times New Roman"/>
          <w:lang w:val="en-US" w:eastAsia="zh-CN"/>
        </w:rPr>
        <w:t>图9 面向高校共享道路主要参与者的安全引导系统设计原型</w:t>
      </w:r>
    </w:p>
    <w:p w14:paraId="1D866C04">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drawing>
          <wp:anchor distT="0" distB="0" distL="114300" distR="114300" simplePos="0" relativeHeight="251668480" behindDoc="0" locked="0" layoutInCell="1" allowOverlap="1">
            <wp:simplePos x="0" y="0"/>
            <wp:positionH relativeFrom="column">
              <wp:posOffset>864235</wp:posOffset>
            </wp:positionH>
            <wp:positionV relativeFrom="paragraph">
              <wp:posOffset>109220</wp:posOffset>
            </wp:positionV>
            <wp:extent cx="3907155" cy="1719580"/>
            <wp:effectExtent l="0" t="0" r="9525" b="2540"/>
            <wp:wrapSquare wrapText="bothSides"/>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pic:cNvPicPr>
                  </pic:nvPicPr>
                  <pic:blipFill>
                    <a:blip r:embed="rId16"/>
                    <a:srcRect t="32005" b="9323"/>
                    <a:stretch>
                      <a:fillRect/>
                    </a:stretch>
                  </pic:blipFill>
                  <pic:spPr>
                    <a:xfrm>
                      <a:off x="0" y="0"/>
                      <a:ext cx="3907155" cy="1719580"/>
                    </a:xfrm>
                    <a:prstGeom prst="rect">
                      <a:avLst/>
                    </a:prstGeom>
                  </pic:spPr>
                </pic:pic>
              </a:graphicData>
            </a:graphic>
          </wp:anchor>
        </w:drawing>
      </w:r>
    </w:p>
    <w:p w14:paraId="6B7B4BEF">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3B8589E9">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214E386">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73C55E00">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p>
    <w:p w14:paraId="5F991A04">
      <w:pPr>
        <w:pStyle w:val="4"/>
        <w:bidi w:val="0"/>
        <w:spacing w:before="120" w:after="120" w:line="360" w:lineRule="auto"/>
        <w:ind w:firstLine="480"/>
        <w:jc w:val="center"/>
        <w:rPr>
          <w:rFonts w:hint="eastAsia" w:ascii="Times New Roman" w:hAnsi="Times New Roman" w:cs="Times New Roman"/>
          <w:i w:val="0"/>
          <w:color w:val="000000"/>
          <w:sz w:val="24"/>
          <w:szCs w:val="24"/>
          <w:lang w:val="en-US" w:eastAsia="zh-CN"/>
        </w:rPr>
      </w:pPr>
      <w:r>
        <w:rPr>
          <w:rFonts w:hint="eastAsia" w:ascii="Times New Roman" w:hAnsi="Times New Roman" w:cs="Times New Roman"/>
          <w:lang w:val="en-US" w:eastAsia="zh-CN"/>
        </w:rPr>
        <w:t>图10 交叉口部署预警标志设计原型</w:t>
      </w:r>
    </w:p>
    <w:p w14:paraId="2B9E9D26">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立面动态提示装置选用屏幕展示装置，借助屏幕主要信息区（占比70%面积）与侧边栏辅助信息区（占比30%面积）的分区布局方式，达成动态信息的即时展示。主要信息区实时呈现速度反馈、冲突预警信息以及路径优化建议（如图11所示）。此外，侧边栏展示当前流量状态、时间天气、文明出行统计等辅助信息。</w:t>
      </w:r>
    </w:p>
    <w:p w14:paraId="4A1A7118">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14:paraId="2DA3D191">
      <w:pPr>
        <w:pStyle w:val="4"/>
        <w:bidi w:val="0"/>
        <w:spacing w:before="120" w:after="120" w:line="360" w:lineRule="auto"/>
        <w:ind w:firstLine="480"/>
        <w:jc w:val="center"/>
        <w:rPr>
          <w:rFonts w:hint="default" w:ascii="Times New Roman" w:hAnsi="Times New Roman" w:cs="Times New Roman"/>
          <w:i w:val="0"/>
          <w:color w:val="000000"/>
          <w:sz w:val="24"/>
          <w:szCs w:val="24"/>
          <w:lang w:val="en-US" w:eastAsia="zh-CN"/>
        </w:rPr>
      </w:pPr>
      <w:r>
        <w:rPr>
          <w:rFonts w:hint="default" w:ascii="Times New Roman" w:hAnsi="Times New Roman" w:cs="Times New Roman"/>
          <w:color w:val="000000"/>
          <w:sz w:val="24"/>
          <w:szCs w:val="24"/>
          <w:lang w:val="en-US" w:eastAsia="zh-CN"/>
        </w:rPr>
        <w:drawing>
          <wp:anchor distT="0" distB="0" distL="114300" distR="114300" simplePos="0" relativeHeight="251669504" behindDoc="0" locked="0" layoutInCell="1" allowOverlap="1">
            <wp:simplePos x="0" y="0"/>
            <wp:positionH relativeFrom="column">
              <wp:posOffset>210185</wp:posOffset>
            </wp:positionH>
            <wp:positionV relativeFrom="paragraph">
              <wp:posOffset>73660</wp:posOffset>
            </wp:positionV>
            <wp:extent cx="4831715" cy="3703955"/>
            <wp:effectExtent l="0" t="0" r="14605" b="14605"/>
            <wp:wrapTopAndBottom/>
            <wp:docPr id="10" name="图片 10" descr="eb5308f2aba9d8f2cba10f23585bb67803cf4d6e7cbf77f64d8a413ee2edf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b5308f2aba9d8f2cba10f23585bb67803cf4d6e7cbf77f64d8a413ee2edff10"/>
                    <pic:cNvPicPr>
                      <a:picLocks noChangeAspect="1"/>
                    </pic:cNvPicPr>
                  </pic:nvPicPr>
                  <pic:blipFill>
                    <a:blip r:embed="rId17"/>
                    <a:srcRect l="13429" b="11502"/>
                    <a:stretch>
                      <a:fillRect/>
                    </a:stretch>
                  </pic:blipFill>
                  <pic:spPr>
                    <a:xfrm>
                      <a:off x="0" y="0"/>
                      <a:ext cx="4831715" cy="3703955"/>
                    </a:xfrm>
                    <a:prstGeom prst="rect">
                      <a:avLst/>
                    </a:prstGeom>
                  </pic:spPr>
                </pic:pic>
              </a:graphicData>
            </a:graphic>
          </wp:anchor>
        </w:drawing>
      </w:r>
      <w:r>
        <w:rPr>
          <w:rFonts w:hint="eastAsia" w:ascii="Times New Roman" w:hAnsi="Times New Roman" w:cs="Times New Roman"/>
          <w:lang w:val="en-US" w:eastAsia="zh-CN"/>
        </w:rPr>
        <w:t>图11 立面动态提示装置设计原型</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设计规范与参数说明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设计方案具备可施工性与可复现性，本研究将方案中的各项视觉要素转化为明确的技术参数，形成设计规范说明。参数的确定依据分为三类：一是由人因工程的计算关系推导得出，二是参照现行标准的规定取值，三是依据前期研究所确立的客观安全指标反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字高与视认距离方面，参数由计算关系直接推导。按人眼可靠识别汉字所需的视角约为20弧分计算，字高与视认距离之间近似满足字高等于视认距离乘以0.0058的关系。骑行者以校园建议速度15公里每小时通行时，若要求其在到达标识前3.5秒完成识别与反应，对应的视认距离为14.6米，据此推得字高不应小于85毫米。考虑到地面标识存在透视压缩与磨损衰减，本设计取100毫米，并对纵向拉伸作1.3倍补偿。</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色彩方面，骑行区采用冷蓝色，行人区采用暖橙色，其色相差异明显，便于快速区分。但如前文所述，二者的明度对比度仅为2.4∶1，低于图形要素通常要求的3∶1，因此不能将色彩作为唯一的区分依据。相应地，两区之间设置150毫米宽的白色实线边界，其与蓝色区域的明度对比度为6.9∶1，与橙色区域为2.9∶1，白色边界因而成为色觉障碍使用者识别分界的主要线索；同时在边界处设置纹理差异，为视障使用者提供触觉反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照明方面，参数依据前期研究所确立的客观安全指标反推。表21所确立的照明水平评分标准中，路面平均照度不低于50勒克斯方可获得满分，而夜间可见性属于基本需求，其缺失将直接引发使用者不满，因此本设计将50勒克斯设定为硬性下限而非目标值。完整的设计参数如表30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表30  安全引导系统设计参数规范</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1600"/>
        <w:gridCol w:w="2500"/>
        <w:gridCol w:w="34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要素类别</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参数项</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规格取值</w:t>
            </w:r>
          </w:p>
        </w:tc>
        <w:tc>
          <w:tcPr>
            <w:tcW w:w="34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确定依据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骑行区铺装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2935 C，RGB(0,87,184)</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冷色调对应通行效率意象；对白色边界明度对比6.9∶1</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行人区铺装</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1585 C，RGB(255,106,19)</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暖色调对应停留与安全意象；对白色边界明度对比2.9∶1</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交叉口警示色块</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116 C，RGB(255,205,0)</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沿用交通警示通行色彩语义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色彩</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冲突点标识</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Pantone 485 C，RGB(218,41,28)</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沿用交通禁止与危险色彩语义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分区边界实线</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白色，宽150mm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兼顾可视性与铺装占用；为色觉障碍者的主要区分线索</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白色横向实线，宽200mm，间距由4.0m递减至1.5m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间距递减制造速度错觉，诱导主动减速</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触感警示条</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黄色凸起，高5mm，宽300mm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高度控制在不影响骑行稳定的范围内</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文字</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地面主要信息字高</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不小于100mm，纵向拉伸1.3倍</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由15km/h、3.5s识别时间与20弧分视角阈推得下限85mm</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图形</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路径方向箭头</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长1200mm，宽400mm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保证15m视距下的形态可辨识</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LED地埋灯</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间距3m，路面平均照度不低于50lux，色温4000K</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对应表21照明水平满分标准；中性色温避免色偏影响分区识别</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材料</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标线逆反射性能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按现行道路交通标线标准的初始值要求执行</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夜间可见性属基本需求，须满足标准下限</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标识牌</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限速标识</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每100m一处，牌面下缘距地2.0m</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间距对应骑行者约24s通过时距；高度避开人流遮挡</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屏幕分区</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主信息区70%，侧栏辅助信息区30%</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对应三层信息架构中的第三层</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安装位置</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设于交叉口来向20m处</w:t>
            </w:r>
          </w:p>
        </w:tc>
        <w:tc>
          <w:tcPr>
            <w:tcW w:w="34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保证骑行者有约4.8s的读取与反应时间</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景观</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草坪减速带</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缓坡1∶8，宽1.5m</w:t>
            </w:r>
          </w:p>
        </w:tc>
        <w:tc>
          <w:tcPr>
            <w:tcW w:w="34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坡度控制在不致引发骑行失稳的范围内</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需要说明的是，表30中涉及材料性能与施工工艺的参数，在实际实施前仍须依据现行有效的道路交通标线与铺装材料标准逐项核定，并结合校园所在地的气候条件对耐久性指标作相应调整。</w:t>
      </w:r>
    </w:p>
    <w:p w14:paraId="68B3EA7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p>
    <w:p>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 xml:space="preserve">除此之外，针对高校共享道路安全引导系统的设计，本研究邀请相关专家及校园共享道路的主要交通参与者共26人，从可用性、骑行安全与步行安全三个维度构建了系统性的综合评估框架。首先，在可用性方面，采用系统可用性量表对导视系统的主观体验进行测量</w:t>
      </w:r>
      <w:r>
        <w:rPr>
          <w:rFonts w:hint="eastAsia" w:ascii="Times New Roman" w:hAnsi="Times New Roman" w:cs="Times New Roman"/>
          <w:color w:val="000000"/>
          <w:sz w:val="24"/>
          <w:szCs w:val="24"/>
          <w:lang w:val="en-US" w:eastAsia="zh-CN"/>
          <w:vertAlign w:val="superscript"/>
        </w:rPr>
        <w:t xml:space="preserve">[77]</w:t>
      </w:r>
      <w:r>
        <w:rPr>
          <w:rFonts w:hint="eastAsia" w:ascii="Times New Roman" w:hAnsi="Times New Roman" w:cs="Times New Roman"/>
          <w:color w:val="000000"/>
          <w:sz w:val="24"/>
          <w:szCs w:val="24"/>
          <w:lang w:val="en-US" w:eastAsia="zh-CN"/>
        </w:rPr>
        <w:t xml:space="preserve">。SUS包含10项标准化条目，通过5点李克特量表从“强烈不同意”到“强烈同意”评估用户对系统的整体易用性。测评重点聚焦于蓝色骑行区与橙色步行区的色彩分区辨识度、动态信息的理解效率、路径指引的连续性以及屏幕辅助信息区的阅读流畅度等关键使用情境。结果表明，大多数参与者能在短时间内理解系统结构并完成相应任务，系统整体SUS得分为76.3分（标准差SD=9.8），高于行业普遍认可的68分可用性阈值</w:t>
      </w:r>
      <w:r>
        <w:rPr>
          <w:rFonts w:hint="eastAsia" w:ascii="Times New Roman" w:hAnsi="Times New Roman" w:cs="Times New Roman"/>
          <w:color w:val="000000"/>
          <w:sz w:val="24"/>
          <w:szCs w:val="24"/>
          <w:lang w:val="en-US" w:eastAsia="zh-CN"/>
          <w:vertAlign w:val="superscript"/>
        </w:rPr>
        <w:t xml:space="preserve">[78-79]</w:t>
      </w:r>
      <w:r>
        <w:rPr>
          <w:rFonts w:hint="eastAsia" w:ascii="Times New Roman" w:hAnsi="Times New Roman" w:cs="Times New Roman"/>
          <w:color w:val="000000"/>
          <w:sz w:val="24"/>
          <w:szCs w:val="24"/>
          <w:lang w:val="en-US" w:eastAsia="zh-CN"/>
        </w:rPr>
        <w:t xml:space="preserve">，按形容词评价量表对应“良好”（Good）等级，说明其具备良好的科学性与操作效率，用户满意度较高。</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可用性测试的实施过程与结果</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可用性测试在中等保真度的数字原型上进行，26名参与者中包括校园交通管理人员3名、交通工程与设计领域专家5名、日常步行为主的师生9名、日常骑行为主的师生9名。测试采用任务分析法与出声思维法相结合的方式：参与者在浏览原型的过程中完成五项典型任务，同时持续口述其观察对象、判断依据与困惑之处；主试全程记录任务完成情况与口述内容，不作提示，仅在参与者明确求助时给予最低限度的引导。全部任务完成后，参与者填写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五项测试任务分别为：识别自身在该场景中应当通行的区域；在交叉口判断是否需要减速及减速的依据；依据地面指引找到通往指定目的地的路径；读取立面装置上的当前流量信息；判断前方是否存在盲区风险。任务的设置对应系统的核心功能，也对应前期需求清单中的基本需求与期望需求。测试结果显示，五项任务的平均完成率为92.3%，其中路权识别任务的完成率最高，为100%，所有参与者均能在3秒内正确指认自身应当通行的区域；完成率最低的是读取立面装置流量信息，为80.8%，未完成者的主要困难在于侧栏信息密度偏高，在模拟通行的时间压力下难以快速定位所需内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系统可用性量表的测量结果如表31所示。系统整体得分为76.3分，标准差为9.8，高于行业普遍认可的68分可用性阈值，按形容词评价量表对应"良好"等级。从逐项得分看，第7题"多数人能够很快学会使用这套系统"的得分最高，反映系统的学习成本较低；第10题"使用前需要学习很多内容"的反向得分相对偏低，与之相互印证。得分表现最弱的是第1题"愿意经常使用"与第9题"使用时具有充分信心"，提示系统在长期使用意愿与使用信心方面仍有提升空间，这一结果也与出声思维中所暴露的若干理解性问题相呼应。</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表31  系统可用性量表逐项得分（n=26）</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700"/>
        <w:gridCol w:w="3400"/>
        <w:gridCol w:w="900"/>
        <w:gridCol w:w="750"/>
        <w:gridCol w:w="850"/>
        <w:gridCol w:w="1896"/>
      </w:tblGrid>
      <w:tr>
        <w:trPr>
          <w:tblHeader/>
        </w:trPr>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题号</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c>
          <w:tcPr>
            <w:tcW w:w="7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均值</w:t>
            </w:r>
          </w:p>
        </w:tc>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标准差</w:t>
            </w:r>
          </w:p>
        </w:tc>
        <w:tc>
          <w:tcPr>
            <w:tcW w:w="18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折算贡献</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3.92</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0.86</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2.92</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2.04</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0.77</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2.96</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4.23</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0.71</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3.23</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0.68</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3.15</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4.08</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0.74</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3.08</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0.72</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3.04</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0.62</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3.31</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0.65</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3.23</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2.96</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0.91</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2.64</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合计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8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30.52</w:t>
            </w:r>
          </w:p>
        </w:tc>
      </w:tr>
      <w:tr>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SUS总分</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折算系数2.5</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7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76.3</w:t>
            </w:r>
          </w:p>
        </w:tc>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8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出声思维记录经整理后，共识别出七项可用性问题。参照可用性研究中通行的严重度分级方法，按问题对任务完成的影响程度分为四级，其中三级及以上的问题被列为必须修改项。问题清单与处理结果如表32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表32  可用性问题清单与处理结果</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700"/>
        <w:gridCol w:w="3000"/>
        <w:gridCol w:w="800"/>
        <w:gridCol w:w="900"/>
        <w:gridCol w:w="3096"/>
      </w:tblGrid>
      <w:tr>
        <w:trPr>
          <w:tblHeader/>
        </w:trPr>
        <w:tc>
          <w:tcPr>
            <w:tcW w:w="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0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问题描述</w:t>
            </w:r>
          </w:p>
        </w:tc>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严重度</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发现人数</w:t>
            </w:r>
          </w:p>
        </w:tc>
        <w:tc>
          <w:tcPr>
            <w:tcW w:w="30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处理方式</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U1</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蓝橙分区在夜间LED照明条件下色相辨识度下降，部分参与者需借助标线判断</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提高白色边界实线的反光等级，并将地埋灯色温由暖白调整为4000K中性白</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U2</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路径方向箭头在模拟高峰人流下被遮挡，指引连续性中断</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箭头改为沿路径连续布设并缩短间距，同时在立面装置侧栏增设方向提示</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U3</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立面装置侧栏信息密度偏高，通行状态下难以快速读取</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侧栏由五项信息精简为三项，字号放大，流量状态改以色块呈现</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U4</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渐进减速标线的含义未被自发理解，多数参与者仅感到"路面有变化"</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在首条减速标线前增设"减速"文字标识，建立标线与语义的关联</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U5</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交叉口黄色警示色块在落叶季与地面杂物的对比度下降</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警示色块边缘增设白色轮廓线，提升与背景的分离度</w:t>
            </w:r>
          </w:p>
        </w:tc>
      </w:tr>
      <w:tr>
        <w:tc>
          <w:tcPr>
            <w:tcW w:w="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U6</w:t>
            </w:r>
          </w:p>
        </w:tc>
        <w:tc>
          <w:tcPr>
            <w:tcW w:w="30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限速标识牌高度对骑行者视线偏高，需抬头查看</w:t>
            </w:r>
          </w:p>
        </w:tc>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1级</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30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牌面下缘由2.4m调整为2.0m</w:t>
            </w:r>
          </w:p>
        </w:tc>
      </w:tr>
      <w:tr>
        <w:tc>
          <w:tcPr>
            <w:tcW w:w="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U7</w:t>
            </w:r>
          </w:p>
        </w:tc>
        <w:tc>
          <w:tcPr>
            <w:tcW w:w="30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对草坪减速带在雨天的防滑性能存在疑虑</w:t>
            </w:r>
          </w:p>
        </w:tc>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1级</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30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纳入材料选型说明，另在坡面设置防滑纹理</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针对三级问题U1与U2，本研究对设计原型作了相应修改并进行了第二轮验证。修改后，夜间条件下的路权识别任务完成率由84.6%提升至96.2%，路径指引任务的中断报告由4人次降至1人次。二级与一级问题的修改一并纳入最终方案，但未再单独组织验证。</w:t>
      </w:r>
    </w:p>
    <w:p w14:paraId="40666552">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其次，在骑行安全量化层面，系统依据BLOS模型对骑行道的运行品质进行综合评定。评价参数包括蓝色骑行道的有效宽度、与行人区之间的物理分隔效果、路面标识与指示图形的清晰度、夜间LED照明条件是否满足骑行需求，以及减速设施的布设密度。大部分区段在安全引导视觉改善后呈现向高等级靠近的趋势，通过模型计算，优化后的骑行道可获得B的服务水平，说明导视设计能有效提升骑行者的安全感与路线预期性。</w:t>
      </w:r>
    </w:p>
    <w:p w14:paraId="0BD2599C">
      <w:pPr>
        <w:pStyle w:val="4"/>
        <w:bidi w:val="0"/>
        <w:spacing w:before="120" w:after="120" w:line="360" w:lineRule="auto"/>
        <w:ind w:firstLine="480"/>
        <w:jc w:val="both"/>
        <w:rPr>
          <w:rFonts w:hint="eastAsia"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步行安全方面，采用PUCE评估方法，对行人在共享道路中的安全余量进行量化分析。重点考察橙色步行区的有效通行宽度、步骑交叉点的冲突频率、动态提示装置在不同速度场景下的预警有效距离，以及草坪缓冲带对潜在入侵冲击的削弱作用。结果表明，优化后的视觉引导策略能够降低行人与骑行者在关键节点的冲突风险，行人对避险空间和路径安全性的主观感知也得到提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为使改造效果具有可比较的量化依据，本研究对改造前后的骑行与步行条件进行了对照测算，结果如表33所示。测算以冲突热点区域中的P07路段（中央大道主校道横纵轴连接处）为对象，该路段道路总宽5.5米，为热点区域中断面条件较为完整、具备分区改造条件的典型路段。改造前各项参数取自附录A的实地测量值，改造后各项参数取自本节所确立的设计规范。</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表33  设计方案实施前后的量化评估对比</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300"/>
        <w:gridCol w:w="2100"/>
        <w:gridCol w:w="1700"/>
        <w:gridCol w:w="1700"/>
        <w:gridCol w:w="1696"/>
      </w:tblGrid>
      <w:tr>
        <w:trPr>
          <w:tblHeader/>
        </w:trPr>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评估维度</w:t>
            </w:r>
          </w:p>
        </w:tc>
        <w:tc>
          <w:tcPr>
            <w:tcW w:w="21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评估参数</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改造前</w:t>
            </w:r>
          </w:p>
        </w:tc>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改造后</w:t>
            </w:r>
          </w:p>
        </w:tc>
        <w:tc>
          <w:tcPr>
            <w:tcW w:w="16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变化</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道路总宽度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5.5m</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不变</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骑行区专属宽度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无（人非混行）</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新增划分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与行人区分隔形式</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标线加纹理分隔</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标识系统完整度评分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61分</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86分</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夜间路面平均照度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38lux</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52lux</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＋14lux</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骑行服务水平</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BLOS综合服务等级</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D级</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B级</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提升两级</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行人区专属宽度</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无（人非混行）</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新增划分</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步骑交叉点标注率</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0/5处</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5/5处</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全部标注</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动态提示有效预警距离</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20m</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新增</w:t>
            </w:r>
          </w:p>
        </w:tc>
      </w:tr>
      <w:tr>
        <w:tc>
          <w:tcPr>
            <w:tcW w:w="13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步行安全</w:t>
            </w:r>
          </w:p>
        </w:tc>
        <w:tc>
          <w:tcPr>
            <w:tcW w:w="21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PUCE舒适度当量</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17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3.4</w:t>
            </w:r>
          </w:p>
        </w:tc>
        <w:tc>
          <w:tcPr>
            <w:tcW w:w="16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r>
        <w:tc>
          <w:tcPr>
            <w:tcW w:w="13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主观感知</w:t>
            </w:r>
          </w:p>
        </w:tc>
        <w:tc>
          <w:tcPr>
            <w:tcW w:w="21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行人路径安全性评分（4分制）</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1.68</w:t>
            </w:r>
          </w:p>
        </w:tc>
        <w:tc>
          <w:tcPr>
            <w:tcW w:w="17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6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需要指出的是，上述测算基于设计参数而非实测数据，其结果反映的是方案在理论上可达到的改善幅度，尚不能等同于实地实施后的实际效果。改造前后的实际冲突发生率变化，有待在方案落地后通过等时长的对照观测加以验证，这一工作已列入本课题的后续研究计划。</w:t>
      </w:r>
    </w:p>
    <w:p w14:paraId="5CB5F017">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综上，本研究通过SUS可用性评价、BLOS骑行服务水平分析与PUCE步行安全空间量化，形成了“可用性-骑行安全-步行安全”三维度的校园共享道路综合评估体系。评估结果验证了安全引导系统在提升校园共享道路识别效率、行为预期性与交通安全体验方面的有效性，并为后续设计优化提供了明确方向。</w:t>
      </w:r>
    </w:p>
    <w:p w14:paraId="0E72D3F8">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5课题</w:t>
      </w:r>
      <w:r>
        <w:rPr>
          <w:rFonts w:hint="default" w:ascii="黑体" w:hAnsi="黑体" w:eastAsia="黑体"/>
          <w:b w:val="0"/>
          <w:bCs w:val="0"/>
          <w:sz w:val="30"/>
          <w:szCs w:val="30"/>
          <w:lang w:val="en-US" w:eastAsia="zh-CN"/>
        </w:rPr>
        <w:t>研究</w:t>
      </w:r>
      <w:r>
        <w:rPr>
          <w:rFonts w:hint="eastAsia" w:ascii="黑体" w:hAnsi="黑体" w:eastAsia="黑体"/>
          <w:b w:val="0"/>
          <w:bCs w:val="0"/>
          <w:sz w:val="30"/>
          <w:szCs w:val="30"/>
          <w:lang w:val="en-US" w:eastAsia="zh-CN"/>
        </w:rPr>
        <w:t>总结</w:t>
      </w:r>
    </w:p>
    <w:p w14:paraId="1FA5608F">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5.1课题研究成果概述</w:t>
      </w:r>
    </w:p>
    <w:p w14:paraId="661828F9">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本研究聚焦于化解高校共享道路的交通冲突问题。鉴于当前有关高校共享道路交通冲突的系统化理论研究以及安全引导策略均相对缺乏，本课题聚焦于高校共享道路中的交通安全议题，以行人和骑行者作为研究对象，遵循“特征识别—模型构建—需求识别—策略生成”的研究路径，系统性地探究高校共享道路内部的交通冲突机理，并据此构建共享道路交通参与者的行为模型，进而形成降低共享道路交通冲突的安全引导策略，为营造安全的校园共享交通环境提供理论与实践层面的支撑。因此，本课题构建了四项循序渐进的研究任务：第一，高校共享道路交通冲突特征识别；第二，共享道路冲突主体安全认知与行为意图作用机理研究；第三，共享道路交通冲突主体认知偏差与需求分析；第四，高校共享道路安全引导策略生成与验证。本研究在理论与实践层面均取得重要成果。</w:t>
      </w:r>
    </w:p>
    <w:p w14:paraId="34AAD7B8">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在高校共享道路交通主要参与者的冲突特征识别研究中，共识别出294起有效冲突事件。研究发现，超半数冲突集中于五个热点区域，此类区域仅占观察点总数的41.7%，却承载了51.7%的冲突事件。此外，时间分布分析显示，早高峰时段冲突发生率最高，占总数的28.2%，其次为晚高峰时段，占26.2%，这反映出集中出行时段的交通压力问题。同时，高校共享道路交通主要参与者的行为分析表明：注意力分散类行为是导致冲突的首要因素，占比达37.8%，其中低头看手机行为尤为显著，占18.7%；违规运动类行为位居第二，占31.3%，主要表现为逆向骑行和超速行驶。</w:t>
      </w:r>
    </w:p>
    <w:p w14:paraId="3F912C3C">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在</w:t>
      </w:r>
      <w:r>
        <w:rPr>
          <w:rFonts w:hint="eastAsia" w:ascii="Times New Roman" w:hAnsi="Times New Roman" w:cs="Times New Roman"/>
          <w:color w:val="000000"/>
          <w:sz w:val="24"/>
          <w:szCs w:val="24"/>
          <w:lang w:val="en-US" w:eastAsia="zh-CN"/>
        </w:rPr>
        <w:t>共享道路冲突主体安全认知与行为意图作用机理研究</w:t>
      </w:r>
      <w:r>
        <w:rPr>
          <w:rFonts w:hint="default" w:ascii="Times New Roman" w:hAnsi="Times New Roman" w:cs="Times New Roman"/>
          <w:color w:val="000000"/>
          <w:sz w:val="24"/>
          <w:szCs w:val="24"/>
          <w:lang w:val="en-US" w:eastAsia="zh-CN"/>
        </w:rPr>
        <w:t>中，本</w:t>
      </w:r>
      <w:r>
        <w:rPr>
          <w:rFonts w:hint="eastAsia" w:ascii="Times New Roman" w:hAnsi="Times New Roman" w:cs="Times New Roman"/>
          <w:color w:val="000000"/>
          <w:sz w:val="24"/>
          <w:szCs w:val="24"/>
          <w:lang w:val="en-US" w:eastAsia="zh-CN"/>
        </w:rPr>
        <w:t>课题分别</w:t>
      </w:r>
      <w:r>
        <w:rPr>
          <w:rFonts w:hint="default" w:ascii="Times New Roman" w:hAnsi="Times New Roman" w:cs="Times New Roman"/>
          <w:color w:val="000000"/>
          <w:sz w:val="24"/>
          <w:szCs w:val="24"/>
          <w:lang w:val="en-US" w:eastAsia="zh-CN"/>
        </w:rPr>
        <w:t>构建了</w:t>
      </w:r>
      <w:r>
        <w:rPr>
          <w:rFonts w:hint="eastAsia" w:ascii="Times New Roman" w:hAnsi="Times New Roman" w:cs="Times New Roman"/>
          <w:color w:val="000000"/>
          <w:sz w:val="24"/>
          <w:szCs w:val="24"/>
          <w:lang w:val="en-US" w:eastAsia="zh-CN"/>
        </w:rPr>
        <w:t>面向高校共享道路交通主要冲突者（即</w:t>
      </w:r>
      <w:r>
        <w:rPr>
          <w:rFonts w:hint="default" w:ascii="Times New Roman" w:hAnsi="Times New Roman" w:cs="Times New Roman"/>
          <w:color w:val="000000"/>
          <w:sz w:val="24"/>
          <w:szCs w:val="24"/>
          <w:lang w:val="en-US" w:eastAsia="zh-CN"/>
        </w:rPr>
        <w:t>行人与骑行者</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差异化的行为决策模型。</w:t>
      </w:r>
      <w:r>
        <w:rPr>
          <w:rFonts w:hint="eastAsia" w:ascii="Times New Roman" w:hAnsi="Times New Roman" w:cs="Times New Roman"/>
          <w:color w:val="000000"/>
          <w:sz w:val="24"/>
          <w:szCs w:val="24"/>
          <w:lang w:val="en-US" w:eastAsia="zh-CN"/>
        </w:rPr>
        <w:t>研究表明：行人的决策过程遵循“风险感知→安全态度→行为意图”的机理，该模型对行为意图的解释力达52.</w:t>
      </w:r>
      <w:r>
        <w:rPr>
          <w:rFonts w:hint="default" w:ascii="Times New Roman" w:hAnsi="Times New Roman" w:cs="Times New Roman"/>
          <w:color w:val="000000"/>
          <w:sz w:val="24"/>
          <w:szCs w:val="24"/>
          <w:lang w:val="en-US" w:eastAsia="zh-CN"/>
        </w:rPr>
        <w:t>3%，其中安全态度的路径系数高达0.378，“脆弱性悖论”</w:t>
      </w:r>
      <w:r>
        <w:rPr>
          <w:rFonts w:hint="eastAsia" w:ascii="Times New Roman" w:hAnsi="Times New Roman" w:cs="Times New Roman"/>
          <w:color w:val="000000"/>
          <w:sz w:val="24"/>
          <w:szCs w:val="24"/>
          <w:lang w:val="en-US" w:eastAsia="zh-CN"/>
        </w:rPr>
        <w:t>在行人决策模型中相对明显</w:t>
      </w:r>
      <w:r>
        <w:rPr>
          <w:rFonts w:hint="default" w:ascii="Times New Roman" w:hAnsi="Times New Roman" w:cs="Times New Roman"/>
          <w:color w:val="000000"/>
          <w:sz w:val="24"/>
          <w:szCs w:val="24"/>
          <w:lang w:val="en-US" w:eastAsia="zh-CN"/>
        </w:rPr>
        <w:t>。</w:t>
      </w:r>
      <w:r>
        <w:rPr>
          <w:rFonts w:hint="eastAsia" w:ascii="Times New Roman" w:hAnsi="Times New Roman" w:cs="Times New Roman"/>
          <w:color w:val="000000"/>
          <w:sz w:val="24"/>
          <w:szCs w:val="24"/>
          <w:lang w:val="en-US" w:eastAsia="zh-CN"/>
        </w:rPr>
        <w:t>相比之下，骑行者遵循“感知易用性→知觉行为控制→行为意图”的机理，模型解释力为44.</w:t>
      </w:r>
      <w:r>
        <w:rPr>
          <w:rFonts w:hint="default" w:ascii="Times New Roman" w:hAnsi="Times New Roman" w:cs="Times New Roman"/>
          <w:color w:val="000000"/>
          <w:sz w:val="24"/>
          <w:szCs w:val="24"/>
          <w:lang w:val="en-US" w:eastAsia="zh-CN"/>
        </w:rPr>
        <w:t>8%，知觉行为控制的路径系数为0.324，</w:t>
      </w:r>
      <w:r>
        <w:rPr>
          <w:rFonts w:hint="eastAsia" w:ascii="Times New Roman" w:hAnsi="Times New Roman" w:cs="Times New Roman"/>
          <w:color w:val="000000"/>
          <w:sz w:val="24"/>
          <w:szCs w:val="24"/>
          <w:lang w:val="en-US" w:eastAsia="zh-CN"/>
        </w:rPr>
        <w:t>这</w:t>
      </w:r>
      <w:r>
        <w:rPr>
          <w:rFonts w:hint="default" w:ascii="Times New Roman" w:hAnsi="Times New Roman" w:cs="Times New Roman"/>
          <w:color w:val="000000"/>
          <w:sz w:val="24"/>
          <w:szCs w:val="24"/>
          <w:lang w:val="en-US" w:eastAsia="zh-CN"/>
        </w:rPr>
        <w:t>反映出骑行者更注重对环境的实际控制能力。</w:t>
      </w:r>
      <w:r>
        <w:rPr>
          <w:rFonts w:hint="eastAsia" w:ascii="Times New Roman" w:hAnsi="Times New Roman" w:cs="Times New Roman"/>
          <w:color w:val="000000"/>
          <w:sz w:val="24"/>
          <w:szCs w:val="24"/>
          <w:lang w:val="en-US" w:eastAsia="zh-CN"/>
        </w:rPr>
        <w:t>以上行为机理</w:t>
      </w:r>
      <w:r>
        <w:rPr>
          <w:rFonts w:hint="default" w:ascii="Times New Roman" w:hAnsi="Times New Roman" w:cs="Times New Roman"/>
          <w:color w:val="000000"/>
          <w:sz w:val="24"/>
          <w:szCs w:val="24"/>
          <w:lang w:val="en-US" w:eastAsia="zh-CN"/>
        </w:rPr>
        <w:t>的差异为制定针对性的安全</w:t>
      </w:r>
      <w:r>
        <w:rPr>
          <w:rFonts w:hint="eastAsia" w:ascii="Times New Roman" w:hAnsi="Times New Roman" w:cs="Times New Roman"/>
          <w:color w:val="000000"/>
          <w:sz w:val="24"/>
          <w:szCs w:val="24"/>
          <w:lang w:val="en-US" w:eastAsia="zh-CN"/>
        </w:rPr>
        <w:t>引导</w:t>
      </w:r>
      <w:r>
        <w:rPr>
          <w:rFonts w:hint="default" w:ascii="Times New Roman" w:hAnsi="Times New Roman" w:cs="Times New Roman"/>
          <w:color w:val="000000"/>
          <w:sz w:val="24"/>
          <w:szCs w:val="24"/>
          <w:lang w:val="en-US" w:eastAsia="zh-CN"/>
        </w:rPr>
        <w:t>策略提供了重要理论依据。</w:t>
      </w:r>
    </w:p>
    <w:p w14:paraId="25AA275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在</w:t>
      </w:r>
      <w:r>
        <w:rPr>
          <w:rFonts w:hint="default" w:ascii="Times New Roman" w:hAnsi="Times New Roman" w:cs="Times New Roman"/>
          <w:color w:val="000000"/>
          <w:sz w:val="24"/>
          <w:szCs w:val="24"/>
          <w:lang w:val="en-US" w:eastAsia="zh-CN"/>
        </w:rPr>
        <w:t>共享道路交通冲突主体认知偏差与需求分析</w:t>
      </w:r>
      <w:r>
        <w:rPr>
          <w:rFonts w:hint="eastAsia" w:ascii="Times New Roman" w:hAnsi="Times New Roman" w:cs="Times New Roman"/>
          <w:color w:val="000000"/>
          <w:sz w:val="24"/>
          <w:szCs w:val="24"/>
          <w:lang w:val="en-US" w:eastAsia="zh-CN"/>
        </w:rPr>
        <w:t>中</w:t>
      </w:r>
      <w:r>
        <w:rPr>
          <w:rFonts w:hint="default" w:ascii="Times New Roman" w:hAnsi="Times New Roman" w:cs="Times New Roman"/>
          <w:color w:val="000000"/>
          <w:sz w:val="24"/>
          <w:szCs w:val="24"/>
          <w:lang w:val="en-US" w:eastAsia="zh-CN"/>
        </w:rPr>
        <w:t>发现</w:t>
      </w:r>
      <w:r>
        <w:rPr>
          <w:rFonts w:hint="eastAsia" w:ascii="Times New Roman" w:hAnsi="Times New Roman" w:cs="Times New Roman"/>
          <w:color w:val="000000"/>
          <w:sz w:val="24"/>
          <w:szCs w:val="24"/>
          <w:lang w:val="en-US" w:eastAsia="zh-CN"/>
        </w:rPr>
        <w:t>：</w:t>
      </w:r>
      <w:r>
        <w:rPr>
          <w:rFonts w:hint="default" w:ascii="Times New Roman" w:hAnsi="Times New Roman" w:cs="Times New Roman"/>
          <w:color w:val="000000"/>
          <w:sz w:val="24"/>
          <w:szCs w:val="24"/>
          <w:lang w:val="en-US" w:eastAsia="zh-CN"/>
        </w:rPr>
        <w:t>36.5%的场景存在显著正偏差，即使用者低估了实际风险；21.9%的场景存在显著负偏差，表现为过度谨慎。</w:t>
      </w:r>
      <w:r>
        <w:rPr>
          <w:rFonts w:hint="eastAsia" w:ascii="Times New Roman" w:hAnsi="Times New Roman" w:cs="Times New Roman"/>
          <w:color w:val="000000"/>
          <w:sz w:val="24"/>
          <w:szCs w:val="24"/>
          <w:lang w:val="en-US" w:eastAsia="zh-CN"/>
        </w:rPr>
        <w:t>尤其值得关注的是，弯道路段的平均认知偏差系数达到32.</w:t>
      </w:r>
      <w:r>
        <w:rPr>
          <w:rFonts w:hint="default" w:ascii="Times New Roman" w:hAnsi="Times New Roman" w:cs="Times New Roman"/>
          <w:color w:val="000000"/>
          <w:sz w:val="24"/>
          <w:szCs w:val="24"/>
          <w:lang w:val="en-US" w:eastAsia="zh-CN"/>
        </w:rPr>
        <w:t>8%，风险被严重低估，而建筑出入口区域则呈现-19.3%的负偏差，风险被高估。</w:t>
      </w:r>
      <w:r>
        <w:rPr>
          <w:rFonts w:hint="eastAsia" w:ascii="Times New Roman" w:hAnsi="Times New Roman" w:cs="Times New Roman"/>
          <w:color w:val="000000"/>
          <w:sz w:val="24"/>
          <w:szCs w:val="24"/>
          <w:lang w:val="en-US" w:eastAsia="zh-CN"/>
        </w:rPr>
        <w:t>此类</w:t>
      </w:r>
      <w:r>
        <w:rPr>
          <w:rFonts w:hint="default" w:ascii="Times New Roman" w:hAnsi="Times New Roman" w:cs="Times New Roman"/>
          <w:color w:val="000000"/>
          <w:sz w:val="24"/>
          <w:szCs w:val="24"/>
          <w:lang w:val="en-US" w:eastAsia="zh-CN"/>
        </w:rPr>
        <w:t>认知偏差的存在直接影响交通参与者的行为选择，成为引发交通冲突的潜在因素。</w:t>
      </w:r>
    </w:p>
    <w:p w14:paraId="18069425">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t xml:space="preserve">在实践应用方面，研究形成了包含五个维度23项具体要素的面向高校共享道路主要参与者的安全引导系统需求清单，明确划分了基本需求、期望需求和兴奋需求三个层级，并以此生成安全引导策略。研究开发了面向高校共享道路主要参与者的安全引导系统设计原型，采用蓝色标识骑行区域、橙色标识步行区域的色彩编码策略，配合照明系统、交叉口冲突标注和动态信息显示装置，形成了静态与动态相结合的综合引导方案。可用性评估结果显示，系统可用性量表得分为76.3分，高于行业认可的68分可用性标准；自行车服务水平评估表明骑行道服务等级提升至B级；路径使用者舒适度评估证实行人的安全感知得到显著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综合四项子任务的发现，本课题得到一个贯穿全篇的总体结论：高校共享道路的交通冲突，是认知、行为与环境三者耦合作用的结果，而安全认知偏差正是三者之间的连接点。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耦合机理可以表述如下。环境要素通过影响信息的可获取性，塑造使用者的风险判断：道路宽度、照明水平、标识密度与分隔形式显著影响主观安全感知，而视距条件虽然在客观上是事故预防的关键因素，却未能进入主观感知的显著预测模型。这种“客观关键、主观忽略”的错位，直接导致了弯道路段的风险被系统性低估。风险判断继而通过各自的心理路径转化为行为意图：行人以风险感知驱动安全态度，再由态度决定意图；骑行者则以设施的易用性支撑控制感，再由控制感决定意图。行为意图落实为实际行为之后，又反过来改变环境中的交通状态，形成新的冲突情境，如此往复。</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这一机理解释了若干此前难以理解的现象。例如，为何骑行者所经历的冲突更多，其风险感知水平却更低——因为频繁的冲突经历在其决策路径中并未转化为风险意识，反而强化了对自身应对能力的信心；又如，为何单纯增加标识往往效果有限——因为若新增的信息未能落在使用者实际形成判断的决策点上，便无法进入其认知加工过程，再多的信息也只是增加了视觉负荷。这一机理同时也指明了干预的着力点：与其笼统地“增加安全设施”，不如针对性地在认知偏差最大的场景中补足被忽略的信息线索，并针对两类主体各自的心理路径分别设计引导策略。</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据此，本课题的理论贡献可归纳为三点：将安全认知偏差确立为可测度的研究对象并建立其量化指标；揭示了同一空间中两类主体在行为决策机理上的实质差异；构建了由机理发现通向设计方案的转化路径。实践价值则体现为三项可直接使用的成果：一份具有量化参数支撑的道路改造优先级依据、一套可跨校迁移的安全引导系统设计方案，以及一套可供高校自行开展的共享道路安全自评估流程。</w:t>
      </w:r>
    </w:p>
    <w:p w14:paraId="0E860BD8">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5.2课题研究局限与不足</w:t>
      </w:r>
    </w:p>
    <w:p w14:paraId="687A359C">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尽管本课题已取得一定成果，但仍存在若干局限，需在后续研究中予以改进。研究样本的代表性存在一定局限，因研究仅在湖北工业大学一所高校开展，研究结论的普适性尚需在不同类型、不同地域、不同规模的高校中进一步验证。此外，时间跨度的局限亦是本研究的不足之处，其数据采集期未能全面涵盖全年不同季节和天气条件下的交通状况变化，可能对研究结果的全面性产生影响。</w:t>
      </w:r>
    </w:p>
    <w:p w14:paraId="626D3130">
      <w:pPr>
        <w:pStyle w:val="4"/>
        <w:bidi w:val="0"/>
        <w:spacing w:before="120" w:after="120" w:line="360" w:lineRule="auto"/>
        <w:ind w:firstLine="480"/>
        <w:jc w:val="both"/>
        <w:rPr>
          <w:rFonts w:hint="default" w:ascii="Times New Roman" w:hAnsi="Times New Roman" w:cs="Times New Roman"/>
          <w:color w:val="000000"/>
          <w:sz w:val="24"/>
          <w:szCs w:val="24"/>
          <w:lang w:val="en-US" w:eastAsia="zh-CN"/>
        </w:rPr>
      </w:pPr>
      <w:r>
        <w:rPr>
          <w:rFonts w:hint="eastAsia" w:ascii="Times New Roman" w:hAnsi="Times New Roman" w:cs="Times New Roman"/>
          <w:color w:val="000000"/>
          <w:sz w:val="24"/>
          <w:szCs w:val="24"/>
          <w:lang w:val="en-US" w:eastAsia="zh-CN"/>
        </w:rPr>
        <w:t>同时，</w:t>
      </w:r>
      <w:r>
        <w:rPr>
          <w:rFonts w:hint="default" w:ascii="Times New Roman" w:hAnsi="Times New Roman" w:cs="Times New Roman"/>
          <w:color w:val="000000"/>
          <w:sz w:val="24"/>
          <w:szCs w:val="24"/>
          <w:lang w:val="en-US" w:eastAsia="zh-CN"/>
        </w:rPr>
        <w:t>设计</w:t>
      </w:r>
      <w:r>
        <w:rPr>
          <w:rFonts w:hint="eastAsia" w:ascii="Times New Roman" w:hAnsi="Times New Roman" w:cs="Times New Roman"/>
          <w:color w:val="000000"/>
          <w:sz w:val="24"/>
          <w:szCs w:val="24"/>
          <w:lang w:val="en-US" w:eastAsia="zh-CN"/>
        </w:rPr>
        <w:t>原型的</w:t>
      </w:r>
      <w:r>
        <w:rPr>
          <w:rFonts w:hint="default" w:ascii="Times New Roman" w:hAnsi="Times New Roman" w:cs="Times New Roman"/>
          <w:color w:val="000000"/>
          <w:sz w:val="24"/>
          <w:szCs w:val="24"/>
          <w:lang w:val="en-US" w:eastAsia="zh-CN"/>
        </w:rPr>
        <w:t>验证深度</w:t>
      </w:r>
      <w:r>
        <w:rPr>
          <w:rFonts w:hint="eastAsia" w:ascii="Times New Roman" w:hAnsi="Times New Roman" w:cs="Times New Roman"/>
          <w:color w:val="000000"/>
          <w:sz w:val="24"/>
          <w:szCs w:val="24"/>
          <w:lang w:val="en-US" w:eastAsia="zh-CN"/>
        </w:rPr>
        <w:t>仍需</w:t>
      </w:r>
      <w:r>
        <w:rPr>
          <w:rFonts w:hint="default" w:ascii="Times New Roman" w:hAnsi="Times New Roman" w:cs="Times New Roman"/>
          <w:color w:val="000000"/>
          <w:sz w:val="24"/>
          <w:szCs w:val="24"/>
          <w:lang w:val="en-US" w:eastAsia="zh-CN"/>
        </w:rPr>
        <w:t>加强</w:t>
      </w:r>
      <w:r>
        <w:rPr>
          <w:rFonts w:hint="eastAsia" w:ascii="Times New Roman" w:hAnsi="Times New Roman" w:cs="Times New Roman"/>
          <w:color w:val="000000"/>
          <w:sz w:val="24"/>
          <w:szCs w:val="24"/>
          <w:lang w:val="en-US" w:eastAsia="zh-CN"/>
        </w:rPr>
        <w:t>。本课题构建的</w:t>
      </w:r>
      <w:r>
        <w:rPr>
          <w:rFonts w:hint="default" w:ascii="Times New Roman" w:hAnsi="Times New Roman" w:cs="Times New Roman"/>
          <w:color w:val="000000"/>
          <w:sz w:val="24"/>
          <w:szCs w:val="24"/>
          <w:lang w:val="en-US" w:eastAsia="zh-CN"/>
        </w:rPr>
        <w:t>面向高校共享道路主要参与者的安全引导系统设计原型主要在模拟环境下进行了可用性测试，缺乏在实际道路环境中的长期部署</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效果追踪，这限制了对设计方案实际效果的</w:t>
      </w:r>
      <w:r>
        <w:rPr>
          <w:rFonts w:hint="eastAsia" w:ascii="Times New Roman" w:hAnsi="Times New Roman" w:cs="Times New Roman"/>
          <w:color w:val="000000"/>
          <w:sz w:val="24"/>
          <w:szCs w:val="24"/>
          <w:lang w:val="en-US" w:eastAsia="zh-CN"/>
        </w:rPr>
        <w:t>精准</w:t>
      </w:r>
      <w:r>
        <w:rPr>
          <w:rFonts w:hint="default" w:ascii="Times New Roman" w:hAnsi="Times New Roman" w:cs="Times New Roman"/>
          <w:color w:val="000000"/>
          <w:sz w:val="24"/>
          <w:szCs w:val="24"/>
          <w:lang w:val="en-US" w:eastAsia="zh-CN"/>
        </w:rPr>
        <w:t>评估。</w:t>
      </w:r>
      <w:r>
        <w:rPr>
          <w:rFonts w:hint="eastAsia" w:ascii="Times New Roman" w:hAnsi="Times New Roman" w:cs="Times New Roman"/>
          <w:color w:val="000000"/>
          <w:sz w:val="24"/>
          <w:szCs w:val="24"/>
          <w:lang w:val="en-US" w:eastAsia="zh-CN"/>
        </w:rPr>
        <w:t>此外，</w:t>
      </w:r>
      <w:r>
        <w:rPr>
          <w:rFonts w:hint="default" w:ascii="Times New Roman" w:hAnsi="Times New Roman" w:cs="Times New Roman"/>
          <w:color w:val="000000"/>
          <w:sz w:val="24"/>
          <w:szCs w:val="24"/>
          <w:lang w:val="en-US" w:eastAsia="zh-CN"/>
        </w:rPr>
        <w:t>研究对动态因素的</w:t>
      </w:r>
      <w:r>
        <w:rPr>
          <w:rFonts w:hint="eastAsia" w:ascii="Times New Roman" w:hAnsi="Times New Roman" w:cs="Times New Roman"/>
          <w:color w:val="000000"/>
          <w:sz w:val="24"/>
          <w:szCs w:val="24"/>
          <w:lang w:val="en-US" w:eastAsia="zh-CN"/>
        </w:rPr>
        <w:t>考量</w:t>
      </w:r>
      <w:r>
        <w:rPr>
          <w:rFonts w:hint="default" w:ascii="Times New Roman" w:hAnsi="Times New Roman" w:cs="Times New Roman"/>
          <w:color w:val="000000"/>
          <w:sz w:val="24"/>
          <w:szCs w:val="24"/>
          <w:lang w:val="en-US" w:eastAsia="zh-CN"/>
        </w:rPr>
        <w:t>相对不足，主要</w:t>
      </w:r>
      <w:r>
        <w:rPr>
          <w:rFonts w:hint="eastAsia" w:ascii="Times New Roman" w:hAnsi="Times New Roman" w:cs="Times New Roman"/>
          <w:color w:val="000000"/>
          <w:sz w:val="24"/>
          <w:szCs w:val="24"/>
          <w:lang w:val="en-US" w:eastAsia="zh-CN"/>
        </w:rPr>
        <w:t>聚焦于</w:t>
      </w:r>
      <w:r>
        <w:rPr>
          <w:rFonts w:hint="default" w:ascii="Times New Roman" w:hAnsi="Times New Roman" w:cs="Times New Roman"/>
          <w:color w:val="000000"/>
          <w:sz w:val="24"/>
          <w:szCs w:val="24"/>
          <w:lang w:val="en-US" w:eastAsia="zh-CN"/>
        </w:rPr>
        <w:t>静态的环境要素和常规的交通情境，对临时施工、大型活动、突发事件等动态因素对交通安全的影响考虑不够充分。此外，研究</w:t>
      </w:r>
      <w:r>
        <w:rPr>
          <w:rFonts w:hint="eastAsia" w:ascii="Times New Roman" w:hAnsi="Times New Roman" w:cs="Times New Roman"/>
          <w:color w:val="000000"/>
          <w:sz w:val="24"/>
          <w:szCs w:val="24"/>
          <w:lang w:val="en-US" w:eastAsia="zh-CN"/>
        </w:rPr>
        <w:t>未</w:t>
      </w:r>
      <w:r>
        <w:rPr>
          <w:rFonts w:hint="default" w:ascii="Times New Roman" w:hAnsi="Times New Roman" w:cs="Times New Roman"/>
          <w:color w:val="000000"/>
          <w:sz w:val="24"/>
          <w:szCs w:val="24"/>
          <w:lang w:val="en-US" w:eastAsia="zh-CN"/>
        </w:rPr>
        <w:t>对设计方案的实施成本、维护成本和成本效益进行系统分析，一定程度上影响了研究成果的实际推广价值</w:t>
      </w:r>
      <w:r>
        <w:rPr>
          <w:rFonts w:hint="eastAsia" w:ascii="Times New Roman" w:hAnsi="Times New Roman" w:cs="Times New Roman"/>
          <w:color w:val="000000"/>
          <w:sz w:val="24"/>
          <w:szCs w:val="24"/>
          <w:lang w:val="en-US" w:eastAsia="zh-CN"/>
        </w:rPr>
        <w:t>与</w:t>
      </w:r>
      <w:r>
        <w:rPr>
          <w:rFonts w:hint="default" w:ascii="Times New Roman" w:hAnsi="Times New Roman" w:cs="Times New Roman"/>
          <w:color w:val="000000"/>
          <w:sz w:val="24"/>
          <w:szCs w:val="24"/>
          <w:lang w:val="en-US" w:eastAsia="zh-CN"/>
        </w:rPr>
        <w:t>可操作性。</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除样本代表性与时间跨度的局限之外，本课题还存在另外两个方面的不足。其一是验证深度的局限。设计原型的评估在模拟环境中完成，参与者所面对的是场景图片与数字模型而非真实道路，其反应与在真实通行压力下的反应可能存在差异；同时，本课题未能开展改造前后的实地对照观测，因而无法给出冲突事件实际下降幅度的直接证据。其二是成本维度的缺失。本课题对各项设计策略的评估主要围绕效果与可实施性展开，未对材料成本、施工成本与后期维护成本作系统测算，也未开展方案之间的成本效益比较；而对于经费有限的高校而言，成本恰恰是决定方案能否落地的关键因素。此外，本课题对临时施工、大型活动、恶劣天气等动态情境的考虑相对不足，所得结论主要适用于常规通行状态。</w:t>
      </w:r>
    </w:p>
    <w:p w14:paraId="16048846">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5.3未来研究展望</w:t>
      </w:r>
    </w:p>
    <w:p w14:paraId="2CE6DCDA">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基于本研究的发现与局限，未来研究可从多维度予以拓展与深化。在研究范围拓展方面，未来可于更多高校以及不同类型的共享道路环境中开展类似的研究与实践。例如，选取具有不同地域、规模和布局特征的校园，以及城市公共共享道路加以验证，以此检验本研究结论的普适性并依此调整策略，进而扩大研究成果的适用范围。同时，在技术深化层面，未来研究应探寻基于物联网、大数据分析以及人工智能技术的智慧型动态引导系统，达成实时交通流监测与风险预警，提供动态的安全提示与行为引导，持续提升系统的智能化程度与响应效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验证方式上，未来研究可推进至实地部署与准实验设计。可选取若干条件相近的路段，其中部分实施视觉引导改造、部分保持原状作为对照，并在改造前后开展等时长的视频观测，以冲突事件实际发生率的变化作为效果指标，从而将本课题在模拟环境中获得的结论置于真实条件下加以检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研究对象上，未来研究可将视野扩展至更多类型的使用者与更复杂的场景。本课题以行人与骑行者为主要对象，未能充分考虑行动不便者、视障者、携带大件物品者等群体的特殊需求，而共享空间理念在实践中所受到的主要批评恰恰来自于此；此外，配送车辆、校园通勤车与施工车辆在校园内的通行，也构成了共享道路上不可忽略的第三类主体，其运行特征与行人、骑行者均有明显差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成果转化上，未来研究可向标准与政策层面延伸。本课题所形成的设计参数与评估流程，已具备进一步整理为高校校园慢行交通设计指引的基础；若能与教育及交通主管部门的相关工作相衔接，其影响范围将超出单个校园，形成更具普遍意义的实践成果。</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5.4面向湖北省高校的推广建议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课题的实证对象虽为单一校区，但所揭示的机理与所形成的方法具有跨校适用性。考虑到省内高校在建校年代、校区形态与经费条件上差异较大，统一的改造方案难以适配各类情形，因此本节按校园类型提出分层实施建议，如表34所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新建或改扩建校区，建议在规划阶段即引入慢行交通的路权设计，将行人与骑行者的分区、交叉口冲突点的处理、视距三角区的控制纳入道路设计的基本要求。此时进行干预的边际成本最低，效果也最为彻底，可以从源头上避免建成后再行改造所面临的空间约束。</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建成年代较早、道路格局难以调整的老校区，建议采取以信息供给替代空间改造的策略。此类校区的主要矛盾在于道路宽度受限且难以拓宽，若以拓宽为改造前提，工作往往无法启动。本课题的研究结果表明，标识完整度与照明水平对冲突发生率同样具有显著影响，且这两项的改造成本远低于道路拓宽。因此，优先补足冲突热点区域的路权标识、交叉口警示与夜间照明，可以在不改变道路格局的前提下取得可观改善。</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对于经费条件有限的高校，建议按本课题所确立的需求层级分步实施。第一步落实基本需求，即清晰的路权划分、交叉口冲突标注、夜间可见性保障与标识适配性，这四项的缺失会直接引发使用者的不满，且实施成本相对较低；第二步推进期望需求，即盲区提示、速度警示与安全路径指引，此类需求的实现程度与满意度呈线性关系，投入能够获得相应回报；第三步在条件允许时引入兴奋需求中的动态流量显示与社会规范可视化。分步实施可使有限的投入优先落在使用者感受最为明显的环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管理制度的配套上，建议将设施改造与柔性管理相结合。鉴于高校缺乏道路交通执法权，单纯依靠设施难以覆盖全部情形，可在冲突热点区域与高峰时段安排志愿劝导，并将共享道路安全教育嵌入新生入学教育环节；同时建立定期的自查机制，参照本课题的观测与评估流程，每学年检视一次热点区域的分布变化与改造效果，使安全治理由一次性的工程行为转变为持续性的管理过程。</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表34  面向湖北省高校的共享道路安全改善分层实施建议</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400"/>
        <w:gridCol w:w="1600"/>
        <w:gridCol w:w="2500"/>
        <w:gridCol w:w="1200"/>
        <w:gridCol w:w="1796"/>
      </w:tblGrid>
      <w:tr>
        <w:trPr>
          <w:tblHeader/>
        </w:trPr>
        <w:tc>
          <w:tcPr>
            <w:tcW w:w="1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校园类型</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主要矛盾</w:t>
            </w:r>
          </w:p>
        </w:tc>
        <w:tc>
          <w:tcPr>
            <w:tcW w:w="25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优先措施</w:t>
            </w:r>
          </w:p>
        </w:tc>
        <w:tc>
          <w:tcPr>
            <w:tcW w:w="1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实施时机</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预期效果</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新建或改扩建校区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建成后再改造受空间约束</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将慢行路权分区、交叉口冲突点处理与视距三角区控制纳入道路设计要求</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规划设计阶段</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边际成本最低，可从源头避免结构性冲突</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格局固定的老校区</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道路宽度受限且难以拓宽</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优先补足热点区域的路权标识、交叉口警示与夜间照明</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近期，可分路段推进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不改变道路格局即可显著降低冲突发生率</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经费条件有限的高校</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投入有限，需明确先后</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按基本需求、期望需求、兴奋需求三级分步实施</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分学年推进</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有限投入优先落在感受最明显的环节</w:t>
            </w:r>
          </w:p>
        </w:tc>
      </w:tr>
      <w:tr>
        <w:tc>
          <w:tcPr>
            <w:tcW w:w="1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各类高校共同适用</w:t>
            </w:r>
          </w:p>
        </w:tc>
        <w:tc>
          <w:tcPr>
            <w:tcW w:w="16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缺乏执法权，设施难以覆盖全部情形</w:t>
            </w:r>
          </w:p>
        </w:tc>
        <w:tc>
          <w:tcPr>
            <w:tcW w:w="25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热点时段志愿劝导、安全教育进入新生教育、每学年开展一次安全自查</w:t>
            </w:r>
          </w:p>
        </w:tc>
        <w:tc>
          <w:tcPr>
            <w:tcW w:w="12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长期</w:t>
            </w:r>
          </w:p>
        </w:tc>
        <w:tc>
          <w:tcPr>
            <w:tcW w:w="1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使安全治理由工程行为转为持续管理</w:t>
            </w:r>
          </w:p>
        </w:tc>
      </w:tr>
      <w:tr>
        <w:tc>
          <w:tcPr>
            <w:tcW w:w="1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具备条件的高校</w:t>
            </w:r>
          </w:p>
        </w:tc>
        <w:tc>
          <w:tcPr>
            <w:tcW w:w="16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静态设施对突发状况响应不足</w:t>
            </w:r>
          </w:p>
        </w:tc>
        <w:tc>
          <w:tcPr>
            <w:tcW w:w="25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在主要节点部署动态提示装置与流量显示</w:t>
            </w:r>
          </w:p>
        </w:tc>
        <w:tc>
          <w:tcPr>
            <w:tcW w:w="12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中远期</w:t>
            </w:r>
          </w:p>
        </w:tc>
        <w:tc>
          <w:tcPr>
            <w:tcW w:w="1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提升系统对实时交通状态的响应能力</w:t>
            </w:r>
          </w:p>
        </w:tc>
      </w:tr>
    </w:tbl>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参考文献</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 中共中央, 国务院. 教育强国建设规划纲要（2024—2035年）[Z]. 北京, 2025.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 武汉市人民政府. 武汉市非机动车管理办法[Z]. 武汉, 2022.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 全国人民代表大会常务委员会. 中华人民共和国道路交通安全法[Z]. 北京, 2021年修正.</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 国家市场监督管理总局, 国家标准化管理委员会. 电动自行车安全技术规范: GB 17761—2018[S]. 北京: 中国标准出版社, 2018.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 HAMILTON-BAILLIE B. Shared space: reconciling people, places and traffic[J]. Built Environment, 2008, 34(2): 161-181.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 MOODY S, MELIA S. Shared space: research, policy and problems[J]. Proceedings of the Institution of Civil Engineers - Transport, 2014, 167(6): 384-392.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 MOHER D, LIBERATI A, TETZLAFF J, et al. Preferred reporting items for systematic reviews and meta-analyses: the PRISMA statement[J]. BMJ, 2009, 339: b2535.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[8] PAGE M J, MCKENZIE J E, BOSSUYT P M, et al. The PRISMA 2020 statement: an updated guideline for reporting systematic reviews[J]. BMJ, 2021, 372: n71.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[9] KARNDACHARUK A, WILSON D J, DUNN R. A review of the evolution of shared (street) space concepts in urban environments[J]. Transport Reviews, 2014, 34(2): 190-220.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[10] PELTZMAN S. The effects of automobile safety regulation[J]. Journal of Political Economy, 1975, 83(4): 677-726.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[11] WILDE G J S. The theory of risk homeostasis: implications for safety and health[J]. Risk Analysis, 1982, 2(4): 209-225.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[12] HYDÉN C. The development of a method for traffic safety evaluation: the Swedish traffic conflicts technique[R]. Lund: Lund University, Bulletin 70, 1987.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[13] HAYWARD J C. Near-miss determination through use of a scale of danger[J]. Highway Research Record, 1972, 384: 24-34.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[14] ALLEN B L, SHIN B T, COOPER P J. Analysis of traffic conflicts and collisions[J]. Transportation Research Record, 1978, 667: 67-74.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[15] GETTMAN D, HEAD L. Surrogate safety measures from traffic simulation models[J]. Transportation Research Record, 2003, 1840(1): 104-115.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[16] LAURESHYN A, SVENSSON A, HYDEN C. Evaluation of traffic safety, based on micro-level behavioural data: theoretical framework and first implementation[J]. Accident Analysis &amp; Prevention, 2010, 42(6): 1637-1646.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[17] JOHNSSON C, LAURESHYN A, DE CEUNYNCK T. In search of surrogate safety indicators for vulnerable road users: a review of surrogate safety indicators[J]. Transport Reviews, 2018, 38(6): 765-785.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[18] ZHENG L, ISMAIL K, MENG X. Traffic conflict techniques for road safety analysis: open questions and some insights[J]. Canadian Journal of Civil Engineering, 2014, 41(7): 633-641.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[19] MIAO L, LIU F, DENG Y. Analysis of traffic conflicts on slow-moving shared paths in Shenzhen, China[J]. Sustainability, 2025, 17(9): 4095.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[20] CERVERO R, KOCKELMAN K. Travel demand and the 3Ds: density, diversity, and design[J]. Transportation Research Part D: Transport and Environment, 1997, 2(3): 199-219.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[21] EWING R, HANDY S. Measuring the unmeasurable: urban design qualities related to walkability[J]. Journal of Urban Design, 2009, 14(1): 65-84.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[22] FRANK L D, SALLIS J F, SAELENS B E, et al. The development of a walkability index: application to the Neighborhood Quality of Life Study[J]. British Journal of Sports Medicine, 2010, 44(13): 924-933.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[23] ZHANG Z, FISHER T, WANG H. Walk Score, environmental quality and walking in a campus setting[J]. Land, 2023, 12(4): 732.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[24] KELLSTEDT K, SPENGLER J O, MADDOCK J E. Comparing perceived and objective measures of bikeability on a university campus: a case study[J]. SAGE Open, 2021, 11(2): 21582440211018685.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[25] LANDIS B W, VATTIKUTI V R, BRANNICK M T. Real-time human perceptions: toward a bicycle level of service[J]. Transportation Research Record, 1997, 1578(1): 119-126.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[26] SORTON A, WALSH T. Bicycle stress level as a tool to evaluate urban and suburban bicycle compatibility[J]. Transportation Research Record, 1994, 1438: 17-24.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[27] MEKURIA M C, FURTH P G, NIXON H. Low-stress bicycling and network connectivity[R]. San Jose: Mineta Transportation Institute, Report 11-19, 2012.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[28] FISHBEIN M, AJZEN I. Belief, attitude, intention and behavior: an introduction to theory and research[M]. Reading, MA: Addison-Wesley, 1975.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[29] AJZEN I. The theory of planned behavior[J]. Organizational Behavior and Human Decision Processes, 1991, 50(2): 179-211.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[30] BANDURA A. Self-efficacy: toward a unifying theory of behavioral change[J]. Psychological Review, 1977, 84(2): 191-215.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[31] PARKER D, MANSTEAD A S R, STRADLING S G, et al. Intention to commit driving violations: an application of the theory of planned behavior[J]. Journal of Applied Psychology, 1992, 77(1): 94-101.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[32] REASON J, MANSTEAD A, STRADLING S, et al. Errors and violations on the roads: a real distinction?[J]. Ergonomics, 1990, 33(10-11): 1315-1332.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[33] ROSENSTOCK I M. Historical origins of the health belief model[J]. Health Education Monographs, 1974, 2(4): 328-335.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[34] ROGERS R W. A protection motivation theory of fear appeals and attitude change[J]. Journal of Psychology, 1975, 91(1): 93-114.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[35] DAVIS F D. Perceived usefulness, perceived ease of use, and user acceptance of information technology[J]. MIS Quarterly, 1989, 13(3): 319-340.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[36] VENKATESH V, DAVIS F D. A theoretical extension of the technology acceptance model: four longitudinal field studies[J]. Management Science, 2000, 46(2): 186-204.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[37] VENKATESH V, MORRIS M G, DAVIS G B, et al. User acceptance of information technology: toward a unified view[J]. MIS Quarterly, 2003, 27(3): 425-478.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[38] CHEN H, GUO Y, LI L. Promoting sustainable mobility on campus: uncovering the behavioral mechanisms behind non-compliant e-bike use among university students[J]. Sustainability, 2025, 17(15): 7147.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[39] 裴玉龙, 龙钰, 马丹. 交通安全意识对非机动车骑行者危险骑行行为的影响研究[J]. 交通信息与安全, 2024, 42(1): 49-58+66.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[40] VON STÜLPNAGEL R, RINTELEN H. A matter of space and perspective: cyclists', car drivers' and pedestrians' assumptions about subjective safety in shared traffic situations[J]. Transportation Research Part A: Policy and Practice, 2024, 179: 103941.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[41] 刘孟歆, 秦华, 岳晨, 等. 右转车辆与过街行人交互过程的影响因素研究[J]. 包装工程, 2023, 44(12): 118-125.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[42] SLOVIC P. Perception of risk[J]. Science, 1987, 236(4799): 280-285.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[43] TVERSKY A, KAHNEMAN D. Judgment under uncertainty: heuristics and biases[J]. Science, 1974, 185(4157): 1124-1131.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[44] 李琳, 叶宇, 陈泳. 城市步行安全及其环境影响要素研究综述与展望[J]. 风景园林, 2025, 32(2): 86-94.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[45] 吕能超, 王玉刚, 周颖, 等. 道路交通安全分析与评价方法综述[J]. 中国公路学报, 2023, 36(4): 183-201.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[46] LYNCH K. The image of the city[M]. Cambridge, MA: MIT Press, 1960.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[47] PASSINI R. Wayfinding in architecture[M]. New York: Van Nostrand Reinhold, 1984.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[48] ARTHUR P, PASSINI R. Wayfinding: people, signs, and architecture[M]. New York: McGraw-Hill, 1992.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[49] MILLER G A. The magical number seven, plus or minus two: some limits on our capacity for processing information[J]. Psychological Review, 1956, 63(2): 81-97.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[50] SWELLER J. Cognitive load during problem solving: effects on learning[J]. Cognitive Science, 1988, 12(2): 257-285.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[51] WICKENS C D. Multiple resources and performance prediction[J]. Theoretical Issues in Ergonomics Science, 2002, 3(2): 159-177.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[52] WARE C. Information visualization: perception for design[M]. 3rd ed. Waltham: Morgan Kaufmann,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[53] ELLIOT A J, MAIER M A. Color psychology: effects of perceiving color on psychological functioning in humans[J]. Annual Review of Psychology, 2014, 65: 95-120.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[54] THALER R H, SUNSTEIN C R. Nudge: improving decisions about health, wealth, and happiness[M]. New Haven: Yale University Press, 2008.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[55] JEFFERY C R. Crime prevention through environmental design[M]. Beverly Hills: Sage, 1971.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[56] NEWMAN O. Defensible space: crime prevention through urban design[M]. New York: Macmillan, 1972.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[57] NORMAN D A, DRAPER S W. User centered system design: new perspectives on human-computer interaction[M]. Hillsdale, NJ: Lawrence Erlbaum, 1986.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[58] SANDERS E B N, STAPPERS P J. Co-creation and the new landscapes of design[J]. CoDesign, 2008, 4(1): 5-18.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[59] NIELSEN J. Usability engineering[M]. San Francisco: Morgan Kaufmann, 1993.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[60] GIBSON J J. The ecological approach to visual perception[M]. Boston: Houghton Mifflin, 1979.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[61] 张乐, 汤晓敏. 可供性视角下大学老校区公共空间评价与更新设计指引——以上海交通大学徐汇校区为例[J]. 中国园林, 2025, 41(5): 115-122.</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[62] DALKEY N, HELMER O. An experimental application of the Delphi method to the use of experts[J]. Management Science, 1963, 9(3): 458-467.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[63] BRAUN V, CLARKE V. Using thematic analysis in psychology[J]. Qualitative Research in Psychology, 2006, 3(2): 77-101.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[64] STRAUSS A, CORBIN J. Basics of qualitative research: techniques and procedures for developing grounded theory[M]. 2nd ed. Thousand Oaks: Sage, 1998.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[65] COCHRAN W G. Sampling techniques[M]. 3rd ed. New York: John Wiley &amp; Sons, 1977.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[66] HU L, BENTLER P M. Cutoff criteria for fit indexes in covariance structure analysis: conventional criteria versus new alternatives[J]. Structural Equation Modeling, 1999, 6(1): 1-55.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[67] NUNNALLY J C, BERNSTEIN I H. Psychometric theory[M]. 3rd ed. New York: McGraw-Hill, 1994.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[68] FORNELL C, LARCKER D F. Evaluating structural equation models with unobservable variables and measurement error[J]. Journal of Marketing Research, 1981, 18(1): 39-50.</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[69] PREACHER K J, HAYES A F. Asymptotic and resampling strategies for assessing and comparing indirect effects in multiple mediator models[J]. Behavior Research Methods, 2008, 40(3): 879-891.</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[70] CHEUNG G W, RENSVOLD R B. Evaluating goodness-of-fit indexes for testing measurement invariance[J]. Structural Equation Modeling, 2002, 9(2): 233-255.</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[71] 中华人民共和国住房和城乡建设部. 城市道路工程设计规范: CJJ 37—2012（2016年版）[S]. 北京: 中国建筑工业出版社, 2016.</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[72] COHEN J. Statistical power analysis for the behavioral sciences[M]. 2nd ed. Hillsdale, NJ: Lawrence Erlbaum, 1988.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[73] MARTILLA J A, JAMES J C. Importance-performance analysis[J]. Journal of Marketing, 1977, 41(1): 77-79.</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[74] KANO N, SERAKU N, TAKAHASHI F, et al. Attractive quality and must-be quality[J]. Journal of the Japanese Society for Quality Control, 1984, 14(2): 39-48.</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[75] DESIGN COUNCIL. Eleven lessons: a study of the design process[R]. London: Design Council, 2007.</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[76] NORMAN D A. The design of everyday things[M]. Revised and expanded ed. New York: Basic Books, 2013.</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[77] BROOKE J. SUS: a "quick and dirty" usability scale[M]//JORDAN P W, THOMAS B, WEERDMEESTER B A, et al. Usability evaluation in industry. London: Taylor &amp; Francis, 1996: 189-194.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[78] BANGOR A, KORTUM P T, MILLER J T. An empirical evaluation of the System Usability Scale[J]. International Journal of Human-Computer Interaction, 2008, 24(6): 574-594.</w:t>
      </w:r>
    </w:p>
    <w:p>
      <w:pPr>
        <w:pStyle w:val="4"/>
        <w:bidi w:val="0"/>
        <w:spacing w:before="120" w:after="120" w:line="360" w:lineRule="auto"/>
        <w:jc w:val="both"/>
        <w:rPr>
          <w:rFonts w:hint="eastAsia" w:eastAsia="宋体"/>
          <w:lang w:eastAsia="zh-CN"/>
        </w:rPr>
      </w:pPr>
      <w:r>
        <w:rPr>
          <w:rFonts w:hint="eastAsia" w:ascii="Times New Roman" w:hAnsi="Times New Roman" w:cs="Times New Roman"/>
          <w:color w:val="000000"/>
          <w:sz w:val="24"/>
          <w:szCs w:val="24"/>
          <w:lang w:val="en-US" w:eastAsia="zh-CN"/>
        </w:rPr>
        <w:t xml:space="preserve">[79] BANGOR A, KORTUM P, MILLER J. Determining what individual SUS scores mean: adding an adjective rating scale[J]. Journal of Usability Studies, 2009, 4(3): 114-123.</w:t>
      </w:r>
    </w:p>
    <w:p>
      <w:r>
        <w:br w:type="page"/>
      </w:r>
    </w:p>
    <w:p>
      <w:pPr>
        <w:pStyle w:val="2"/>
        <w:spacing w:before="100" w:after="480" w:line="400" w:lineRule="exact"/>
        <w:rPr>
          <w:rFonts w:hint="eastAsia"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附录A  校园共享道路观测点位登记与环境参数实测表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记录本研究12个视频观测点位的基本信息与环境参数实测结果。各项几何参数由手持式激光测距仪测得，均取五次测量的均值；标识完整度依据标识数量、设置位置与内容清晰度三项分指标综合评分，量程为0—100分；路面平均照度于夜间22时采用照度计在路段中线等间距取五点测量后取均值。冲突数为观测期内该点位识别出的有效冲突事件总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附表A-1  校园共享道路观测点位登记与环境参数实测表</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589"/>
        <w:gridCol w:w="1223"/>
        <w:gridCol w:w="1948"/>
        <w:gridCol w:w="883"/>
        <w:gridCol w:w="792"/>
        <w:gridCol w:w="860"/>
        <w:gridCol w:w="838"/>
        <w:gridCol w:w="747"/>
        <w:gridCol w:w="616"/>
      </w:tblGrid>
      <w:tr>
        <w:trPr>
          <w:tblHeader/>
        </w:trPr>
        <w:tc>
          <w:tcPr>
            <w:tcW w:w="589"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点位</w:t>
            </w:r>
          </w:p>
        </w:tc>
        <w:tc>
          <w:tcPr>
            <w:tcW w:w="122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场景类型</w:t>
            </w:r>
          </w:p>
        </w:tc>
        <w:tc>
          <w:tcPr>
            <w:tcW w:w="194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具体位置</w:t>
            </w:r>
          </w:p>
        </w:tc>
        <w:tc>
          <w:tcPr>
            <w:tcW w:w="88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有效通行宽度(m)</w:t>
            </w:r>
          </w:p>
        </w:tc>
        <w:tc>
          <w:tcPr>
            <w:tcW w:w="792"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无遮挡视距(m)</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标识完整度(分)</w:t>
            </w:r>
          </w:p>
        </w:tc>
        <w:tc>
          <w:tcPr>
            <w:tcW w:w="838"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平均照度(lux)</w:t>
            </w:r>
          </w:p>
        </w:tc>
        <w:tc>
          <w:tcPr>
            <w:tcW w:w="747"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路面状况</w:t>
            </w:r>
          </w:p>
        </w:tc>
        <w:tc>
          <w:tcPr>
            <w:tcW w:w="61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冲突数</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工程二号楼北入口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工程一号楼主入口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P03</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教学楼群入口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土木楼西入口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东苑食堂北侧道路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西苑食堂T字路口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P06</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食堂周边道路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南苑食堂东侧道路</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5.0</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中央大道横纵轴连接处</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校前区主环道交叉口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6.2</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28</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80</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P09</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主要道路交叉口</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实验楼群北侧交叉口</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74</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西苑公寓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较差</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589"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22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宿舍区连接道路</w:t>
            </w:r>
          </w:p>
        </w:tc>
        <w:tc>
          <w:tcPr>
            <w:tcW w:w="1948"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东苑公寓连接道</w:t>
            </w:r>
          </w:p>
        </w:tc>
        <w:tc>
          <w:tcPr>
            <w:tcW w:w="88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4.6</w:t>
            </w:r>
          </w:p>
        </w:tc>
        <w:tc>
          <w:tcPr>
            <w:tcW w:w="792"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58</w:t>
            </w:r>
          </w:p>
        </w:tc>
        <w:tc>
          <w:tcPr>
            <w:tcW w:w="838"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747"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一般</w:t>
            </w:r>
          </w:p>
        </w:tc>
        <w:tc>
          <w:tcPr>
            <w:tcW w:w="61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r>
      <w:tr>
        <w:tc>
          <w:tcPr>
            <w:tcW w:w="589"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22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w:t>
            </w:r>
          </w:p>
        </w:tc>
        <w:tc>
          <w:tcPr>
            <w:tcW w:w="1948"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图书馆南门广场</w:t>
            </w:r>
          </w:p>
        </w:tc>
        <w:tc>
          <w:tcPr>
            <w:tcW w:w="88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6.5</w:t>
            </w:r>
          </w:p>
        </w:tc>
        <w:tc>
          <w:tcPr>
            <w:tcW w:w="792"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30</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72</w:t>
            </w:r>
          </w:p>
        </w:tc>
        <w:tc>
          <w:tcPr>
            <w:tcW w:w="838"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c>
          <w:tcPr>
            <w:tcW w:w="747"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良好</w:t>
            </w:r>
          </w:p>
        </w:tc>
        <w:tc>
          <w:tcPr>
            <w:tcW w:w="61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由附表A-1可见，冲突数居前五位的点位（P02、P05、P10、P07、P12）中，有三个点位的有效通行宽度不足4米，两个点位的无遮挡视距不足15米，标识完整度均低于65分。这一分布与正文4.1.2节所报告的环境要素相关性分析结果相互印证。</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附录B  校园共享道路冲突行为编码手册</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给出视频标注环节所使用的冲突触发行为编码规则。标注员依据本手册对每一起冲突事件的触发行为进行判定；当一起事件同时呈现两种以上行为特征时，以最先出现且对冲突形成起主导作用的行为为准，不重复计次。20%的样本由第二名标注员独立复核，不一致处提交专家裁定。</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附表B-1  校园共享道路冲突行为编码手册</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50"/>
        <w:gridCol w:w="573"/>
        <w:gridCol w:w="956"/>
        <w:gridCol w:w="2550"/>
        <w:gridCol w:w="3081"/>
        <w:gridCol w:w="486"/>
      </w:tblGrid>
      <w:tr>
        <w:trPr>
          <w:tblHeader/>
        </w:trPr>
        <w:tc>
          <w:tcPr>
            <w:tcW w:w="8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类别</w:t>
            </w:r>
          </w:p>
        </w:tc>
        <w:tc>
          <w:tcPr>
            <w:tcW w:w="573"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编码</w:t>
            </w:r>
          </w:p>
        </w:tc>
        <w:tc>
          <w:tcPr>
            <w:tcW w:w="95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行为名称</w:t>
            </w:r>
          </w:p>
        </w:tc>
        <w:tc>
          <w:tcPr>
            <w:tcW w:w="25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操作性定义</w:t>
            </w:r>
          </w:p>
        </w:tc>
        <w:tc>
          <w:tcPr>
            <w:tcW w:w="3081"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判别准则</w:t>
            </w:r>
          </w:p>
        </w:tc>
        <w:tc>
          <w:tcPr>
            <w:tcW w:w="48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频次</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低头看手机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通行过程中持握并注视移动设备，视线离开前方行进方向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连续低头时长≥3秒，且期间未抬头观察前方</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佩戴耳机</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双耳或单耳佩戴耳机通行，对环境声音信号的接收受到削弱</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画面中可辨识耳机佩戴，且对铃声、呼喊无即时反应</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注意力分散</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AD-3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边走边交谈</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与同行者持续交谈，注意力部分转移至社交互动</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交谈持续≥5秒，伴随头部转向同伴或行进速度波动</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逆向骑行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在有明确通行方向指示的路段逆向行驶</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行驶方向与该路段标线或既定车流方向相反</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超速骑行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骑行速度明显超出校园15公里／小时的安全建议值</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由轨迹数据换算的瞬时速度＞15公里／小时</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违规运动</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IM-3</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人行道骑行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在划定为步行区域的空间内骑行通过</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车轮轨迹完整落入步行区标线以内</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突然转向</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未给出预告信号即改变原有行进方向</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航向角变化≥45度且变向前1秒内无手势或声音提示</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突发变向</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SD-2</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急停急起</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短时间内速度发生剧烈变化</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速度变化率的绝对值≥2米／二次方秒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w:t>
            </w:r>
          </w:p>
        </w:tc>
      </w:tr>
      <w:tr>
        <w:tc>
          <w:tcPr>
            <w:tcW w:w="8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SO-1</w:t>
            </w:r>
          </w:p>
        </w:tc>
        <w:tc>
          <w:tcPr>
            <w:tcW w:w="95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并排骑行</w:t>
            </w:r>
          </w:p>
        </w:tc>
        <w:tc>
          <w:tcPr>
            <w:tcW w:w="255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两人及以上并行骑行，横向占据宽度显著扩大</w:t>
            </w:r>
          </w:p>
        </w:tc>
        <w:tc>
          <w:tcPr>
            <w:tcW w:w="3081"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并行横向宽度≥2.0米且持续≥5秒</w:t>
            </w:r>
          </w:p>
        </w:tc>
        <w:tc>
          <w:tcPr>
            <w:tcW w:w="48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w:t>
            </w:r>
          </w:p>
        </w:tc>
      </w:tr>
      <w:tr>
        <w:tc>
          <w:tcPr>
            <w:tcW w:w="8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空间侵占</w:t>
            </w:r>
          </w:p>
        </w:tc>
        <w:tc>
          <w:tcPr>
            <w:tcW w:w="573"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SO-2</w:t>
            </w:r>
          </w:p>
        </w:tc>
        <w:tc>
          <w:tcPr>
            <w:tcW w:w="95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蛇形穿行</w:t>
            </w:r>
          </w:p>
        </w:tc>
        <w:tc>
          <w:tcPr>
            <w:tcW w:w="255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在密集人流中反复横向变线穿插通行</w:t>
            </w:r>
          </w:p>
        </w:tc>
        <w:tc>
          <w:tcPr>
            <w:tcW w:w="3081"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连续两次以上反向横移，单次横移距离≥1.0米</w:t>
            </w:r>
          </w:p>
        </w:tc>
        <w:tc>
          <w:tcPr>
            <w:tcW w:w="48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上述十种行为的频次合计为294起，与正文4.1.2节所报告的有效冲突事件总数一致。</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附录C  研究量表与问卷全文</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附录收录本研究各阶段所使用的测量工具。其中，高校共享道路交通安全行为量表的43个核心题项已在正文表14中完整列出，此处仅补充其人口统计学题项；交通环境特征要素调研问卷与系统可用性量表的全部题项列于本附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C1  面向交通冲突者的高校共享道路交通环境特征要素调研问卷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本问卷用于正文4.1.1节的交通环境特征要素调研，分为基本信息（4题）与五大环境因素评价（32题）两个板块，合计36个题项。除注明为多选或开放题者外，其余题项均采用5级李克特量表计分。</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附表C-1  交通环境特征要素调研问卷题项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60"/>
        <w:gridCol w:w="5436"/>
        <w:gridCol w:w="1600"/>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板块</w:t>
            </w:r>
          </w:p>
        </w:tc>
        <w:tc>
          <w:tcPr>
            <w:tcW w:w="5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43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题型</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您的身份（本科生／硕士研究生／博士研究生／教职工）</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您在校园内最主要的出行方式（步行／自行车／电动自行车／其他）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您在校园内的日均出行频次</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基本信息</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您在本校的在校时长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您对校园共享道路现有通行宽度的满意程度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因道路宽度不足而与他人发生近距离接触的频率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您认为通行宽度最不足的路段类型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道路宽度不足对您通行速度的影响程度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在宽度受限路段，您通常采取的应对方式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B6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您认为校园共享道路的适宜宽度及其理由</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通行过程中视线被遮挡的发生频率</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造成视线遮挡的主要原因（绿化／建筑转角／停放车辆／指示牌／其他）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弯道路段的视距充足程度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道路交叉口的视距充足程度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建筑出入口的视距充足程度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视线受阻时您主动减速的意愿</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C7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您认为最需要改善视距的具体位置</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现有交通标识的清晰程度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标识含义的易理解程度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标识设置位置的合理程度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地面标线的可辨识程度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夜间标识的可见程度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标识系统在路径上的连续程度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D7</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您曾遇到的标识问题类型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D8</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您希望增加的标识信息类型</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夜间道路照明的充足程度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照明不足对您夜间出行意愿的影响程度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傍晚时段的照明满意程度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夜间时段的照明满意程度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E5</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您认为照明明显不足的具体路段</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E6</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您认为优先改善照明的方式</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单选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F1</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路面平整程度的满意程度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F2</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您曾遇到的路面问题类型（坑洼／积水／破损／井盖高差／其他）</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多选</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F3</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路面问题对通行安全的影响程度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F4</w:t>
            </w:r>
          </w:p>
        </w:tc>
        <w:tc>
          <w:tcPr>
            <w:tcW w:w="543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雨天路面防滑性能的满意程度</w:t>
            </w:r>
          </w:p>
        </w:tc>
        <w:tc>
          <w:tcPr>
            <w:tcW w:w="1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5级量表</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路面质量</w:t>
            </w:r>
          </w:p>
        </w:tc>
        <w:tc>
          <w:tcPr>
            <w:tcW w:w="5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F5</w:t>
            </w:r>
          </w:p>
        </w:tc>
        <w:tc>
          <w:tcPr>
            <w:tcW w:w="543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您认为最需要修整的路段</w:t>
            </w:r>
          </w:p>
        </w:tc>
        <w:tc>
          <w:tcPr>
            <w:tcW w:w="1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开放题</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C2  高校共享道路交通安全行为量表人口统计学题项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本量表用于正文4.2节的结构方程模型研究。43个核心题项及其编码见正文表14，人口统计学题项如附表C-2所示，两部分合计49题。</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附表C-2  安全行为量表人口统计学题项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3800"/>
        <w:gridCol w:w="3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3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3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选项设置</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DM1</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性别</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男／女</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DM2</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年龄</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18-22岁／23-25岁／26-30岁／30岁以上</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DM3</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身份</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本科生／硕士研究生／博士研究生／教职工</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DM4</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校园内主要交通方式</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步行／自行车／电动自行车</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DM5</w:t>
            </w:r>
          </w:p>
        </w:tc>
        <w:tc>
          <w:tcPr>
            <w:tcW w:w="3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校园内日均出行距离</w:t>
            </w:r>
          </w:p>
        </w:tc>
        <w:tc>
          <w:tcPr>
            <w:tcW w:w="37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1km以下／1-3km／3-5km／5km以上</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DM6</w:t>
            </w:r>
          </w:p>
        </w:tc>
        <w:tc>
          <w:tcPr>
            <w:tcW w:w="3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过去一年是否经历交通冲突（含险些发生事故）</w:t>
            </w:r>
          </w:p>
        </w:tc>
        <w:tc>
          <w:tcPr>
            <w:tcW w:w="37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是／否</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C3  认知偏差场景评价问卷</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问卷用于正文4.3节的认知偏差测量，由三部分构成。第一部分收集人口统计学信息与出行特征，包括性别、年龄、在校年限、院系专业、主要出行方式、每周校园出行频次以及是否经历过交通事故或险情，共7题。第二部分为场景安全评价核心模块，每位参与者随机分配10张场景图片，逐张回答“请设想你正在图片所示的道路上行走或骑行，依据你的直观感受，对该场景中的通行安全程度进行评价”，采用4分制李克特量表计分（0表示不安全，1表示比较不安全，2表示比较安全，3表示安全）。第三部分为开放式补充问题，共2题，分别为“当你判定一条道路是否安全时，主要关注哪些因素”与“你认为现有的校园道路标识系统存在哪些缺陷，有何改进建议”。</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C4  系统可用性量表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本量表用于正文4.4.3节的设计原型可用性评估，题项在Brooke所提出的标准量表基础上结合本研究对象作情境化改写，采用5点李克特量表计分，奇数题正向计分，偶数题反向计分，总分换算至0—100分区间。</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附表C-3  系统可用性量表（SUS）题项</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900"/>
        <w:gridCol w:w="5800"/>
        <w:gridCol w:w="1796"/>
      </w:tblGrid>
      <w:tr>
        <w:trPr>
          <w:tblHeader/>
        </w:trPr>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编号</w:t>
            </w:r>
          </w:p>
        </w:tc>
        <w:tc>
          <w:tcPr>
            <w:tcW w:w="5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题项内容</w:t>
            </w:r>
          </w:p>
        </w:tc>
        <w:tc>
          <w:tcPr>
            <w:tcW w:w="17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计分方向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我愿意经常使用这套安全引导系统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SUS2</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我认为这套系统过于复杂</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SUS3</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我认为这套系统易于使用</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SUS4</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我需要他人协助才能理解这套系统的指引</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SUS5</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我认为系统中各项引导要素的整合程度良好</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SUS6</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我认为这套系统存在过多不一致之处</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SUS7</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我认为多数人能够很快学会使用这套系统</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SUS8</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我认为使用这套系统的过程十分繁琐</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r>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SUS9</w:t>
            </w:r>
          </w:p>
        </w:tc>
        <w:tc>
          <w:tcPr>
            <w:tcW w:w="5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使用这套系统时我具有充分的信心</w:t>
            </w:r>
          </w:p>
        </w:tc>
        <w:tc>
          <w:tcPr>
            <w:tcW w:w="17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正向</w:t>
            </w:r>
          </w:p>
        </w:tc>
      </w:tr>
      <w:tr>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SUS10</w:t>
            </w:r>
          </w:p>
        </w:tc>
        <w:tc>
          <w:tcPr>
            <w:tcW w:w="5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在使用这套系统之前我需要学习很多内容</w:t>
            </w:r>
          </w:p>
        </w:tc>
        <w:tc>
          <w:tcPr>
            <w:tcW w:w="17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反向</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附录D  访谈提纲与主题编码表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D1  冲突识别阶段半结构化访谈提纲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本提纲用于正文4.1.1节面向53名受访者（经常步行的学生20人、经常骑行的学生20人、教职工10人、校园管理人员3人）的访谈。访谈时长约30至45分钟，全程录音并逐字转录。</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开场部分：请您简要介绍在校园内的日常出行情况，包括常用的出行方式、主要路线以及出行的时间分布。</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主题一，校园交通安全的总体感知。您如何评价校园内的整体交通安全状况？在校园中通行时，哪些时段或哪些地点会让您感到不安？这种不安主要来自什么？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主题二，出行习惯与路线选择。您在选择通行路线时主要考虑哪些因素？安全因素在其中占多大比重？是否有某些路段您会刻意避开，原因是什么？</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主题三，冲突事件的经历与目击。请您回忆最近一次险些与他人发生碰撞的经历，当时的具体情境是怎样的？您当时如何判断、如何反应？事后是否有过反思？</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主题四，对现有交通设施的评价。您如何评价校园内现有的标识、标线、照明与道路条件？其中哪些对您的通行有实际帮助，哪些形同虚设？</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主题五，改善建议。如果由您来改善校园的通行环境，您最希望优先解决哪一个问题？您认为怎样的措施会真正改变人们的通行行为？</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D2  认知偏差阶段深度访谈提纲</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提纲用于正文4.3.1节面向30名受访者的访谈，围绕日常路径选择的认知逻辑、危险情境的识别与归因、现有标识系统的认知评价、理想安全环境的想象建构四个核心主题展开，各主题的具体问题已在正文中说明，此处补充追问要点：在路径选择主题中，追问安全考量与时间成本之间的权衡方式；在危险情境主题中，追问事发瞬间的注意力指向与信息获取来源；在标识评价主题中，结合实际路段照片追问标识未被注意到的原因；在理想环境主题中，追问所设想措施的可接受程度与潜在顾虑。</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D3  访谈资料三级编码对照表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正文4.1.1节所述的三级编码过程，由开放式编码识别出286个初始概念，经轴心编码归纳为42个类属，最终经选择性编码提炼出8个核心主题。各核心主题及其对应类属与初始概念示例如附表D-1所示。</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附表D-1  访谈资料三级编码对照表（节选）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700"/>
        <w:gridCol w:w="2400"/>
        <w:gridCol w:w="3400"/>
        <w:gridCol w:w="996"/>
      </w:tblGrid>
      <w:tr>
        <w:trPr>
          <w:tblHeader/>
        </w:trPr>
        <w:tc>
          <w:tcPr>
            <w:tcW w:w="17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核心主题</w:t>
            </w:r>
          </w:p>
        </w:tc>
        <w:tc>
          <w:tcPr>
            <w:tcW w:w="2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对应类属示例</w:t>
            </w:r>
          </w:p>
        </w:tc>
        <w:tc>
          <w:tcPr>
            <w:tcW w:w="34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初始概念示例</w:t>
            </w:r>
          </w:p>
        </w:tc>
        <w:tc>
          <w:tcPr>
            <w:tcW w:w="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引用频次</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时空集聚的通行压力</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高峰时段拥挤、出行时间集中、瓶颈路段排队</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“下课那十分钟根本走不动”“大家都挤在一个口子”</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路权边界的认知模糊</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分区不清、标线缺失、空间归属不明</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“不知道哪边该我走”“没有线，随便走”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注意力资源被电子设备占用</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看手机通行、佩戴耳机、消息即时回复</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“边走边回消息是常态”“戴着耳机听不见铃声”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效率优先的路径选择</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抄近道、逆向通行、赶时间违规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“绕一圈太远了，就逆行过去”“快迟到了顾不上”</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39</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速度差异带来的威胁感</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贴身超越、突然出现、制动距离不足</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“电动车擦着我过去，吓一跳”“根本来不及躲”</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36</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规则约束的软性与失效</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无人管理、违规无成本、从众违规</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“又没人管”“大家都这样走”</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31</w:t>
            </w:r>
          </w:p>
        </w:tc>
      </w:tr>
      <w:tr>
        <w:tc>
          <w:tcPr>
            <w:tcW w:w="17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环境信息供给不足</w:t>
            </w:r>
          </w:p>
        </w:tc>
        <w:tc>
          <w:tcPr>
            <w:tcW w:w="2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夜间看不清、盲区无提示、标识被遮挡</w:t>
            </w:r>
          </w:p>
        </w:tc>
        <w:tc>
          <w:tcPr>
            <w:tcW w:w="34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“晚上走到跟前才看见”“转角完全是盲的”</w:t>
            </w:r>
          </w:p>
        </w:tc>
        <w:tc>
          <w:tcPr>
            <w:tcW w:w="9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w:t>
            </w:r>
          </w:p>
        </w:tc>
      </w:tr>
      <w:tr>
        <w:tc>
          <w:tcPr>
            <w:tcW w:w="17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群体互动中的默契与误解</w:t>
            </w:r>
          </w:p>
        </w:tc>
        <w:tc>
          <w:tcPr>
            <w:tcW w:w="2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眼神确认、避让预期落空、双向同侧避让</w:t>
            </w:r>
          </w:p>
        </w:tc>
        <w:tc>
          <w:tcPr>
            <w:tcW w:w="34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“我以为他要让，结果他也往这边”</w:t>
            </w:r>
          </w:p>
        </w:tc>
        <w:tc>
          <w:tcPr>
            <w:tcW w:w="9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附录E  场景设计与客观安全指数评分明细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E1  场景正交设计表</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正文4.3.1节所述的八个环境变量各设三个水平，完整因子设计空间为3的8次方即6561种组合。本研究采用正交实验设计方法，经统计优化算法筛选出96个具有代表性的场景组合，以保证主效应与关键交互效应的可估计性。附表E-1列出其中12个场景的变量设置作为示例，完整设计表存于研究数据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附表E-1  场景正交设计表（节选）</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20"/>
        <w:gridCol w:w="900"/>
        <w:gridCol w:w="940"/>
        <w:gridCol w:w="860"/>
        <w:gridCol w:w="860"/>
        <w:gridCol w:w="1120"/>
        <w:gridCol w:w="940"/>
        <w:gridCol w:w="860"/>
        <w:gridCol w:w="1396"/>
      </w:tblGrid>
      <w:tr>
        <w:trPr>
          <w:tblHeader/>
        </w:trPr>
        <w:tc>
          <w:tcPr>
            <w:tcW w:w="6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场景</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标识密度</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w:t>
            </w:r>
          </w:p>
        </w:tc>
        <w:tc>
          <w:tcPr>
            <w:tcW w:w="112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w:t>
            </w:r>
          </w:p>
        </w:tc>
        <w:tc>
          <w:tcPr>
            <w:tcW w:w="94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分隔形式</w:t>
            </w:r>
          </w:p>
        </w:tc>
        <w:tc>
          <w:tcPr>
            <w:tcW w:w="86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交通流量</w:t>
            </w:r>
          </w:p>
        </w:tc>
        <w:tc>
          <w:tcPr>
            <w:tcW w:w="13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景观复杂度</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S07</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S13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S28</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S35</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S44</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普通混凝土</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S52</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S60</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S71</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严重遮挡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夜间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标线分隔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中等</w:t>
            </w:r>
          </w:p>
        </w:tc>
      </w:tr>
      <w:tr>
        <w:tc>
          <w:tcPr>
            <w:tcW w:w="6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S83</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4.5m</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无遮挡</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日间</w:t>
            </w:r>
          </w:p>
        </w:tc>
        <w:tc>
          <w:tcPr>
            <w:tcW w:w="112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老旧透水砖</w:t>
            </w:r>
          </w:p>
        </w:tc>
        <w:tc>
          <w:tcPr>
            <w:tcW w:w="94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物理分隔</w:t>
            </w:r>
          </w:p>
        </w:tc>
        <w:tc>
          <w:tcPr>
            <w:tcW w:w="86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平峰</w:t>
            </w:r>
          </w:p>
        </w:tc>
        <w:tc>
          <w:tcPr>
            <w:tcW w:w="13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复杂</w:t>
            </w:r>
          </w:p>
        </w:tc>
      </w:tr>
      <w:tr>
        <w:tc>
          <w:tcPr>
            <w:tcW w:w="6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S96</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2.5m</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部分遮挡</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高</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黄昏</w:t>
            </w:r>
          </w:p>
        </w:tc>
        <w:tc>
          <w:tcPr>
            <w:tcW w:w="112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优质沥青</w:t>
            </w:r>
          </w:p>
        </w:tc>
        <w:tc>
          <w:tcPr>
            <w:tcW w:w="94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无分隔</w:t>
            </w:r>
          </w:p>
        </w:tc>
        <w:tc>
          <w:tcPr>
            <w:tcW w:w="86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低峰</w:t>
            </w:r>
          </w:p>
        </w:tc>
        <w:tc>
          <w:tcPr>
            <w:tcW w:w="13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简单</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E2  研究路段客观安全指数评分明细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客观安全指数依据正文表21所确立的五项指标及其权重加权求和计算，量程为0至3分。附表E-2列出9个研究路段的分项得分与综合指数。各场景图片在继承其对应路段基准指数的基础上，再依据该场景特定的变量设置作相应微调，形成每个场景各自的客观安全指数。</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附表E-2  9个研究路段客观安全指数评分明细</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800"/>
        <w:gridCol w:w="1300"/>
        <w:gridCol w:w="1300"/>
        <w:gridCol w:w="1300"/>
        <w:gridCol w:w="1300"/>
        <w:gridCol w:w="1300"/>
        <w:gridCol w:w="1196"/>
      </w:tblGrid>
      <w:tr>
        <w:trPr>
          <w:tblHeader/>
        </w:trPr>
        <w:tc>
          <w:tcPr>
            <w:tcW w:w="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路段</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道路宽度S1</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视距条件S2</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标识系统S3</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照明水平S4</w:t>
            </w:r>
          </w:p>
        </w:tc>
        <w:tc>
          <w:tcPr>
            <w:tcW w:w="13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路面质量S5</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客观安全指数OSI</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P04</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P05</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P07</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P08</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2.75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1.95</w:t>
            </w:r>
          </w:p>
        </w:tc>
      </w:tr>
      <w:tr>
        <w:tc>
          <w:tcPr>
            <w:tcW w:w="8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P12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3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2.60</w:t>
            </w:r>
          </w:p>
        </w:tc>
      </w:tr>
      <w:tr>
        <w:tc>
          <w:tcPr>
            <w:tcW w:w="8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权重</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0.30</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0.25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0.15</w:t>
            </w:r>
          </w:p>
        </w:tc>
        <w:tc>
          <w:tcPr>
            <w:tcW w:w="13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0.10</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9个研究路段的客观安全指数均值为1.93，标准差为0.63。其中P10与P02的指数最低，二者的标识系统得分均为0分，视距条件得分均为1分，与其在正文4.1.2节中所呈现的高冲突频次相对应。</w:t>
      </w:r>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附录F  专家构成与德尔菲评分汇总</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在环境要素筛选、理论要素论证、客观指标赋权、场景图像盲评与设计策略评估五个环节引入专家咨询。为保护专家隐私，此处仅列出其专业领域、职称层次与所属单位类型，姓名与具体单位存于研究档案。</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附表F-1  各研究环节专家构成</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1800"/>
        <w:gridCol w:w="900"/>
        <w:gridCol w:w="600"/>
        <w:gridCol w:w="3200"/>
        <w:gridCol w:w="1996"/>
      </w:tblGrid>
      <w:tr>
        <w:trPr>
          <w:tblHeader/>
        </w:trPr>
        <w:tc>
          <w:tcPr>
            <w:tcW w:w="18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研究环节</w:t>
            </w:r>
          </w:p>
        </w:tc>
        <w:tc>
          <w:tcPr>
            <w:tcW w:w="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对应章节</w:t>
            </w:r>
          </w:p>
        </w:tc>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人数</w:t>
            </w:r>
          </w:p>
        </w:tc>
        <w:tc>
          <w:tcPr>
            <w:tcW w:w="32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专业领域构成</w:t>
            </w:r>
          </w:p>
        </w:tc>
        <w:tc>
          <w:tcPr>
            <w:tcW w:w="19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职称层次</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交通环境特征要素筛选</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4.1.1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交通工程4人、城市规划3人、安全管理3人、校园管理2人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理论要素重要性论证</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交通工程3人、行为心理学2人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正高5人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量表题项语言评估</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4.2.1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设计学4人、心理测量3人、交通工程3人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正高3人、副高5人、中级2人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客观安全指标赋权</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交通工程5人、设计实践5人、管理部门5人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正高6人、副高6人、中级3人</w:t>
            </w:r>
          </w:p>
        </w:tc>
      </w:tr>
      <w:tr>
        <w:tc>
          <w:tcPr>
            <w:tcW w:w="18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AI场景图像盲评</w:t>
            </w:r>
          </w:p>
        </w:tc>
        <w:tc>
          <w:tcPr>
            <w:tcW w:w="9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4.3.1</w:t>
            </w:r>
          </w:p>
        </w:tc>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32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环境设计5人</w:t>
            </w:r>
          </w:p>
        </w:tc>
        <w:tc>
          <w:tcPr>
            <w:tcW w:w="1996"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副高3人、中级2人</w:t>
            </w:r>
          </w:p>
        </w:tc>
      </w:tr>
      <w:tr>
        <w:tc>
          <w:tcPr>
            <w:tcW w:w="18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安全引导策略评估</w:t>
            </w:r>
          </w:p>
        </w:tc>
        <w:tc>
          <w:tcPr>
            <w:tcW w:w="9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4.4.2</w:t>
            </w:r>
          </w:p>
        </w:tc>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32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交通工程4人、视觉设计4人、校园管理4人</w:t>
            </w:r>
          </w:p>
        </w:tc>
        <w:tc>
          <w:tcPr>
            <w:tcW w:w="1996"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正高4人、副高5人、中级3人</w:t>
            </w:r>
          </w:p>
        </w:tc>
      </w:tr>
    </w:tbl>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附表F-2汇总了正文4.1.1节所述德尔菲法两轮咨询的评分结果。12位专家依据理论重要性、测量可行性与可改善性三项标准对18项候选环境要素评分，每项1至5分，单项总分区间为3至15分。第一轮咨询的肯德尔协调系数为0.58，第二轮提升至0.76，两轮均在0.001水平上显著，表明专家意见趋于收敛。经两轮咨询，道路宽度、视距条件、标识系统、照明水平与路面质量五项得分显著高于其余各项，最终确定为核心研究要素。</w:t>
      </w:r>
    </w:p>
    <w:p>
      <w:pPr>
        <w:pStyle w:val="4"/>
        <w:bidi w:val="0"/>
        <w:spacing w:before="120" w:after="120" w:line="360" w:lineRule="auto"/>
        <w:jc w:val="center"/>
        <w:rPr>
          <w:rFonts w:hint="eastAsia" w:eastAsia="宋体"/>
          <w:lang w:eastAsia="zh-CN"/>
        </w:rPr>
      </w:pPr>
      <w:r>
        <w:rPr>
          <w:rFonts w:hint="eastAsia" w:ascii="Times New Roman" w:hAnsi="Times New Roman" w:cs="Times New Roman"/>
          <w:color w:val="000000"/>
          <w:sz w:val="24"/>
          <w:szCs w:val="24"/>
          <w:lang w:val="en-US" w:eastAsia="zh-CN"/>
        </w:rPr>
        <w:t xml:space="preserve">附表F-2  德尔菲两轮专家评分汇总</w:t>
      </w:r>
    </w:p>
    <w:tbl>
      <w:tblPr>
        <w:tblStyle w:val="9"/>
        <w:tblW w:w="8496" w:type="dxa"/>
        <w:tblInd w:w="0" w:type="dxa"/>
        <w:tblBorders>
          <w:top w:val="none"/>
          <w:left w:val="none"/>
          <w:bottom w:val="none"/>
          <w:right w:val="none"/>
          <w:insideH w:val="none"/>
          <w:insideV w:val="none"/>
        </w:tblBorders>
        <w:tblLayout w:type="fixed"/>
        <w:tblCellMar>
          <w:top w:w="20" w:type="dxa"/>
          <w:left w:w="72" w:type="dxa"/>
          <w:bottom w:w="20" w:type="dxa"/>
          <w:right w:w="72" w:type="dxa"/>
        </w:tblCellMar>
      </w:tblPr>
      <w:tblGrid>
        <w:gridCol w:w="600"/>
        <w:gridCol w:w="1900"/>
        <w:gridCol w:w="1150"/>
        <w:gridCol w:w="1250"/>
        <w:gridCol w:w="1150"/>
        <w:gridCol w:w="1250"/>
        <w:gridCol w:w="1196"/>
      </w:tblGrid>
      <w:tr>
        <w:trPr>
          <w:tblHeader/>
        </w:trPr>
        <w:tc>
          <w:tcPr>
            <w:tcW w:w="6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序号</w:t>
            </w:r>
          </w:p>
        </w:tc>
        <w:tc>
          <w:tcPr>
            <w:tcW w:w="190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候选环境要素</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第一轮标准差</w:t>
            </w:r>
          </w:p>
        </w:tc>
        <w:tc>
          <w:tcPr>
            <w:tcW w:w="11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第二轮均值</w:t>
            </w:r>
          </w:p>
        </w:tc>
        <w:tc>
          <w:tcPr>
            <w:tcW w:w="1250"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第二轮标准差</w:t>
            </w:r>
          </w:p>
        </w:tc>
        <w:tc>
          <w:tcPr>
            <w:tcW w:w="1196" w:type="dxa"/>
            <w:tcBorders>
              <w:top w:val="single" w:color="000000" w:sz="8" w:space="0"/>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b/>
                <w:bCs/>
                <w:sz w:val="18"/>
                <w:szCs w:val="18"/>
              </w:rPr>
            </w:pPr>
            <w:r>
              <w:rPr>
                <w:rFonts w:hint="eastAsia" w:ascii="Times New Roman" w:hAnsi="Times New Roman" w:eastAsia="宋体" w:cs="Times New Roman"/>
                <w:b/>
                <w:bCs/>
                <w:sz w:val="18"/>
                <w:szCs w:val="18"/>
              </w:rPr>
              <w:t xml:space="preserve">是否入选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道路宽度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视距条件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标识系统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1.02</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照明水平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路面平整度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交通信号</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2.10</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1.66</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减速设施</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路缘石高度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2.05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护栏设置</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9.2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10</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路面颜色</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2.14</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8.5</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11</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纵坡坡度</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2.28</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1.80</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12</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弯道半径</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2.19</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1.77</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13</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绿化遮挡</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8.1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2.36</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1.83</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14</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路面材质</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2.25</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7.3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1.79</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15</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噪声水平</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6.4</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2.41</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5.9</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1.88</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16</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排水系统</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6.1</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2.33</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5.6</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1.85</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17</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温度条件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5.2</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2.47</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4.7</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1.91</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18</w:t>
            </w:r>
          </w:p>
        </w:tc>
        <w:tc>
          <w:tcPr>
            <w:tcW w:w="1900" w:type="dxa"/>
            <w:tcBorders>
              <w:top w:val="nil"/>
              <w:left w:val="nil"/>
              <w:bottom w:val="nil"/>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风力条件</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4.8</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2.52</w:t>
            </w:r>
          </w:p>
        </w:tc>
        <w:tc>
          <w:tcPr>
            <w:tcW w:w="11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4.3</w:t>
            </w:r>
          </w:p>
        </w:tc>
        <w:tc>
          <w:tcPr>
            <w:tcW w:w="1250"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1.94</w:t>
            </w:r>
          </w:p>
        </w:tc>
        <w:tc>
          <w:tcPr>
            <w:tcW w:w="1196" w:type="dxa"/>
            <w:tcBorders>
              <w:top w:val="nil"/>
              <w:left w:val="nil"/>
              <w:bottom w:val="nil"/>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未入选</w:t>
            </w:r>
          </w:p>
        </w:tc>
      </w:tr>
      <w:tr>
        <w:tc>
          <w:tcPr>
            <w:tcW w:w="60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c>
          <w:tcPr>
            <w:tcW w:w="1900" w:type="dxa"/>
            <w:tcBorders>
              <w:top w:val="nil"/>
              <w:left w:val="nil"/>
              <w:bottom w:val="single" w:color="000000" w:sz="8" w:space="0"/>
              <w:right w:val="nil"/>
            </w:tcBorders>
            <w:vAlign w:val="center"/>
          </w:tcPr>
          <w:p>
            <w:pPr>
              <w:widowControl/>
              <w:spacing w:line="240" w:lineRule="auto"/>
              <w:jc w:val="left"/>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肯德尔协调系数W</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0.58</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0.76</w:t>
            </w:r>
          </w:p>
        </w:tc>
        <w:tc>
          <w:tcPr>
            <w:tcW w:w="1250"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p&lt;0.001</w:t>
            </w:r>
          </w:p>
        </w:tc>
        <w:tc>
          <w:tcPr>
            <w:tcW w:w="1196" w:type="dxa"/>
            <w:tcBorders>
              <w:top w:val="nil"/>
              <w:left w:val="nil"/>
              <w:bottom w:val="single" w:color="000000" w:sz="8" w:space="0"/>
              <w:right w:val="nil"/>
            </w:tcBorders>
            <w:vAlign w:val="center"/>
          </w:tcPr>
          <w:p>
            <w:pPr>
              <w:widowControl/>
              <w:spacing w:line="240" w:lineRule="auto"/>
              <w:jc w:val="center"/>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 xml:space="preserve">—</w:t>
            </w:r>
          </w:p>
        </w:tc>
      </w:tr>
    </w:tbl>
    <w:p/>
    <w:p>
      <w:pPr>
        <w:pStyle w:val="2"/>
        <w:spacing w:before="100" w:after="480" w:line="400" w:lineRule="exact"/>
        <w:rPr>
          <w:rFonts w:hint="default" w:ascii="黑体" w:hAnsi="黑体" w:eastAsia="黑体"/>
          <w:b w:val="0"/>
          <w:bCs w:val="0"/>
          <w:sz w:val="30"/>
          <w:szCs w:val="30"/>
          <w:lang w:val="en-US" w:eastAsia="zh-CN"/>
        </w:rPr>
      </w:pPr>
      <w:r>
        <w:rPr>
          <w:rFonts w:hint="eastAsia" w:ascii="黑体" w:hAnsi="黑体" w:eastAsia="黑体"/>
          <w:b w:val="0"/>
          <w:bCs w:val="0"/>
          <w:sz w:val="30"/>
          <w:szCs w:val="30"/>
          <w:lang w:val="en-US" w:eastAsia="zh-CN"/>
        </w:rPr>
        <w:t xml:space="preserve">附录G  研究伦理声明与知情同意要点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G1  研究伦理声明</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本研究涉及公共区域视频观测、问卷调查、深度访谈与设计工作坊四类数据采集活动，全过程遵循自愿参与、知情同意、匿名处理与最小必要原则。</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视频观测方面，全部观测点位均设于校园公共通行区域，观测方案事前报请学校相关管理部门审核同意，并在各点位显著位置设置观测告示，说明拍摄目的、时段与数据用途，供通行者知悉。录像资料仅用于冲突事件的识别与行为编码，不用于任何形式的个体身份识别。原始录像在完成标注后即进行人脸与车牌区域的模糊化处理，仅保留脱敏后的轨迹数据与事件片段，原始文件在研究结题后统一销毁。</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问卷与访谈方面，全部参与者在参与前均获知研究目的、参与内容、预计耗时、数据用途以及可随时无条件退出的权利，并签署知情同意书。问卷不采集姓名、学号、联系方式等直接身份信息；访谈录音在转录完成后即行删除，转录文本以受访者编号替代姓名，涉及具体人员、院系的表述在整理阶段一并作模糊化处理。</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在数据管理方面，全部研究数据存储于课题组专用加密存储设备，访问权限限于课题组成员。研究成果中呈现的所有个体层面资料均为匿名化处理后的结果，访谈引文在不改变原意的前提下删除了可能指向特定个人的细节。</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G2  知情同意书要点</w:t>
      </w:r>
    </w:p>
    <w:p>
      <w:pPr>
        <w:pStyle w:val="4"/>
        <w:bidi w:val="0"/>
        <w:spacing w:before="120" w:after="120" w:line="360" w:lineRule="auto"/>
        <w:ind w:firstLine="480"/>
        <w:jc w:val="both"/>
        <w:rPr>
          <w:rFonts w:hint="eastAsia" w:eastAsia="宋体"/>
          <w:lang w:eastAsia="zh-CN"/>
        </w:rPr>
      </w:pPr>
      <w:r>
        <w:rPr>
          <w:rFonts w:hint="eastAsia" w:ascii="Times New Roman" w:hAnsi="Times New Roman" w:cs="Times New Roman"/>
          <w:color w:val="000000"/>
          <w:sz w:val="24"/>
          <w:szCs w:val="24"/>
          <w:lang w:val="en-US" w:eastAsia="zh-CN"/>
        </w:rPr>
        <w:t xml:space="preserve">本研究所使用的知情同意书涵盖以下要点：一是研究的名称、承担单位与负责人联系方式；二是研究目的与参与者需要完成的具体事项；三是预计耗时与参与方式；四是参与本研究可能带来的收益与风险说明，本研究不涉及超出日常出行范围的额外风险；五是数据的采集范围、使用方式、保存期限与销毁安排；六是匿名与保密承诺；七是参与者可在任何阶段无需说明理由退出研究，且不因退出承担任何不利后果；八是参与者对研究数据的查询与撤回权利；九是参与者签名与日期栏。</w:t>
      </w:r>
    </w:p>
    <w:sectPr>
      <w:footerReference r:id="rId6" w:type="first"/>
      <w:footerReference r:id="rId5"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Times New Roman Regular">
    <w:altName w:val="Times New Roman"/>
    <w:panose1 w:val="02020503050405090304"/>
    <w:charset w:val="00"/>
    <w:family w:val="auto"/>
    <w:pitch w:val="default"/>
    <w:sig w:usb0="00000000" w:usb1="00000000" w:usb2="00000001" w:usb3="00000000" w:csb0="400001BF" w:csb1="DFF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6299F">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FDB5986">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3F2B8">
    <w:pPr>
      <w:pStyle w:val="5"/>
      <w:rPr>
        <w:rFonts w:hint="default" w:ascii="Times New Roman" w:hAnsi="Times New Roman" w:cs="Times New Roman"/>
      </w:rPr>
    </w:pPr>
    <w:r>
      <w:rPr>
        <w:rFonts w:hint="default" w:ascii="Times New Roman" w:hAnsi="Times New Roman" w:cs="Times New Roman"/>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2828D5E">
                    <w:pPr>
                      <w:pStyle w:val="5"/>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A4AF2">
    <w:pPr>
      <w:pStyle w:val="5"/>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5C88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15C5C88E">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A84D">
    <w:pPr>
      <w:pStyle w:val="6"/>
      <w:pBdr>
        <w:bottom w:val="single" w:color="auto" w:sz="4" w:space="1"/>
      </w:pBdr>
      <w:jc w:val="center"/>
      <w:rPr>
        <w:rFonts w:hint="default" w:ascii="Times New Roman" w:hAnsi="Times New Roman" w:cs="Times New Roman" w:eastAsiaTheme="minorEastAsia"/>
        <w:sz w:val="24"/>
        <w:szCs w:val="24"/>
        <w:lang w:val="en-US" w:eastAsia="zh-CN"/>
      </w:rPr>
    </w:pPr>
    <w:r>
      <w:rPr>
        <w:rFonts w:hint="default" w:ascii="Times New Roman" w:hAnsi="Times New Roman" w:cs="Times New Roman"/>
        <w:sz w:val="24"/>
        <w:szCs w:val="24"/>
        <w:lang w:val="en-US" w:eastAsia="zh-CN"/>
      </w:rPr>
      <w:t>2025年度武汉市社科联课题</w:t>
    </w:r>
    <w:r>
      <w:rPr>
        <w:rFonts w:hint="eastAsia" w:ascii="Times New Roman" w:hAnsi="Times New Roman" w:cs="Times New Roman"/>
        <w:sz w:val="24"/>
        <w:szCs w:val="24"/>
        <w:lang w:val="en-US" w:eastAsia="zh-CN"/>
      </w:rPr>
      <w:t>研究</w:t>
    </w:r>
    <w:r>
      <w:rPr>
        <w:rFonts w:hint="default" w:ascii="Times New Roman" w:hAnsi="Times New Roman" w:cs="Times New Roman"/>
        <w:sz w:val="24"/>
        <w:szCs w:val="24"/>
        <w:lang w:val="en-US" w:eastAsia="zh-CN"/>
      </w:rPr>
      <w:t>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C33C8"/>
    <w:multiLevelType w:val="singleLevel"/>
    <w:tmpl w:val="829C33C8"/>
    <w:lvl w:ilvl="0" w:tentative="0">
      <w:start w:val="1"/>
      <w:numFmt w:val="decimal"/>
      <w:suff w:val="nothing"/>
      <w:lvlText w:val="（%1）"/>
      <w:lvlJc w:val="left"/>
      <w:rPr>
        <w:rFonts w:hint="default" w:ascii="黑体" w:hAnsi="黑体" w:eastAsia="黑体" w:cs="黑体"/>
      </w:rPr>
    </w:lvl>
  </w:abstractNum>
  <w:abstractNum w:abstractNumId="1">
    <w:nsid w:val="A2C2AF36"/>
    <w:multiLevelType w:val="singleLevel"/>
    <w:tmpl w:val="A2C2AF36"/>
    <w:lvl w:ilvl="0" w:tentative="0">
      <w:start w:val="1"/>
      <w:numFmt w:val="decimal"/>
      <w:suff w:val="nothing"/>
      <w:lvlText w:val="（%1）"/>
      <w:lvlJc w:val="left"/>
      <w:rPr>
        <w:rFonts w:hint="default" w:ascii="黑体" w:hAnsi="黑体" w:eastAsia="黑体" w:cs="黑体"/>
      </w:rPr>
    </w:lvl>
  </w:abstractNum>
  <w:abstractNum w:abstractNumId="2">
    <w:nsid w:val="EA1CF8C1"/>
    <w:multiLevelType w:val="singleLevel"/>
    <w:tmpl w:val="EA1CF8C1"/>
    <w:lvl w:ilvl="0" w:tentative="0">
      <w:start w:val="1"/>
      <w:numFmt w:val="decimal"/>
      <w:suff w:val="nothing"/>
      <w:lvlText w:val="（%1）"/>
      <w:lvlJc w:val="left"/>
    </w:lvl>
  </w:abstractNum>
  <w:abstractNum w:abstractNumId="3">
    <w:nsid w:val="35E46E77"/>
    <w:multiLevelType w:val="singleLevel"/>
    <w:tmpl w:val="35E46E77"/>
    <w:lvl w:ilvl="0" w:tentative="0">
      <w:start w:val="1"/>
      <w:numFmt w:val="decimal"/>
      <w:suff w:val="nothing"/>
      <w:lvlText w:val="（%1）"/>
      <w:lvlJc w:val="left"/>
      <w:rPr>
        <w:rFonts w:hint="default" w:ascii="黑体" w:hAnsi="黑体" w:eastAsia="黑体" w:cs="黑体"/>
      </w:rPr>
    </w:lvl>
  </w:abstractNum>
  <w:abstractNum w:abstractNumId="4">
    <w:nsid w:val="379009E1"/>
    <w:multiLevelType w:val="singleLevel"/>
    <w:tmpl w:val="379009E1"/>
    <w:lvl w:ilvl="0" w:tentative="0">
      <w:start w:val="1"/>
      <w:numFmt w:val="chineseCounting"/>
      <w:suff w:val="nothing"/>
      <w:lvlText w:val="第%1，"/>
      <w:lvlJc w:val="left"/>
      <w:rPr>
        <w:rFonts w:hint="eastAsia"/>
      </w:rPr>
    </w:lvl>
  </w:abstractNum>
  <w:num w:numId="1">
    <w:abstractNumId w:val="4"/>
  </w:num>
  <w:num w:numId="2">
    <w:abstractNumId w:val="0"/>
  </w:num>
  <w:num w:numId="3">
    <w:abstractNumId w:val="3"/>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updateFields w:val="true"/>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23CFC"/>
    <w:rsid w:val="000E0E28"/>
    <w:rsid w:val="00610597"/>
    <w:rsid w:val="009224FE"/>
    <w:rsid w:val="00E803CB"/>
    <w:rsid w:val="013243F9"/>
    <w:rsid w:val="01A13D77"/>
    <w:rsid w:val="01B67601"/>
    <w:rsid w:val="020000B3"/>
    <w:rsid w:val="0215299B"/>
    <w:rsid w:val="026C6FEE"/>
    <w:rsid w:val="026E7509"/>
    <w:rsid w:val="02777BFD"/>
    <w:rsid w:val="028969D5"/>
    <w:rsid w:val="028B5DD1"/>
    <w:rsid w:val="02AF2CDD"/>
    <w:rsid w:val="02DA05CB"/>
    <w:rsid w:val="02E34F3D"/>
    <w:rsid w:val="02E36377"/>
    <w:rsid w:val="0304012D"/>
    <w:rsid w:val="039D18E6"/>
    <w:rsid w:val="03C17D46"/>
    <w:rsid w:val="03D25D2F"/>
    <w:rsid w:val="03E94E31"/>
    <w:rsid w:val="0402322C"/>
    <w:rsid w:val="04373E15"/>
    <w:rsid w:val="044004C3"/>
    <w:rsid w:val="04780182"/>
    <w:rsid w:val="049A3DD9"/>
    <w:rsid w:val="04B14F1D"/>
    <w:rsid w:val="04FB7792"/>
    <w:rsid w:val="05294D64"/>
    <w:rsid w:val="057F2DF2"/>
    <w:rsid w:val="05B922DB"/>
    <w:rsid w:val="060E0E99"/>
    <w:rsid w:val="06255E28"/>
    <w:rsid w:val="064E2059"/>
    <w:rsid w:val="069845E6"/>
    <w:rsid w:val="06B80F28"/>
    <w:rsid w:val="06D01345"/>
    <w:rsid w:val="07503593"/>
    <w:rsid w:val="07900320"/>
    <w:rsid w:val="07B477CE"/>
    <w:rsid w:val="07D7350F"/>
    <w:rsid w:val="080F19E9"/>
    <w:rsid w:val="08191757"/>
    <w:rsid w:val="083727C0"/>
    <w:rsid w:val="083F6B7A"/>
    <w:rsid w:val="087C1A65"/>
    <w:rsid w:val="08AC11F3"/>
    <w:rsid w:val="08B4450F"/>
    <w:rsid w:val="08E25FED"/>
    <w:rsid w:val="09300255"/>
    <w:rsid w:val="09420839"/>
    <w:rsid w:val="09643EED"/>
    <w:rsid w:val="09992B4F"/>
    <w:rsid w:val="09CA0F5B"/>
    <w:rsid w:val="09EC383A"/>
    <w:rsid w:val="0A173A74"/>
    <w:rsid w:val="0A4E002C"/>
    <w:rsid w:val="0AA252F0"/>
    <w:rsid w:val="0AC01458"/>
    <w:rsid w:val="0B5ED0F7"/>
    <w:rsid w:val="0B9A61FB"/>
    <w:rsid w:val="0BBE124B"/>
    <w:rsid w:val="0BF52FA0"/>
    <w:rsid w:val="0C061FF2"/>
    <w:rsid w:val="0C1803D6"/>
    <w:rsid w:val="0C192317"/>
    <w:rsid w:val="0C1A42EF"/>
    <w:rsid w:val="0C43716A"/>
    <w:rsid w:val="0C5D659A"/>
    <w:rsid w:val="0CA21D1B"/>
    <w:rsid w:val="0CC936D8"/>
    <w:rsid w:val="0D78403C"/>
    <w:rsid w:val="0DB066B9"/>
    <w:rsid w:val="0DD9531C"/>
    <w:rsid w:val="0DEA1E65"/>
    <w:rsid w:val="0DEB0981"/>
    <w:rsid w:val="0DEB76F2"/>
    <w:rsid w:val="0E333F9D"/>
    <w:rsid w:val="0E337665"/>
    <w:rsid w:val="0E3F3599"/>
    <w:rsid w:val="0EB969C0"/>
    <w:rsid w:val="0EC20452"/>
    <w:rsid w:val="0EC71E62"/>
    <w:rsid w:val="0ECD4C5E"/>
    <w:rsid w:val="0F427144"/>
    <w:rsid w:val="0F9D532E"/>
    <w:rsid w:val="0FC0550E"/>
    <w:rsid w:val="10376C1E"/>
    <w:rsid w:val="10433815"/>
    <w:rsid w:val="10450267"/>
    <w:rsid w:val="10487732"/>
    <w:rsid w:val="104C7395"/>
    <w:rsid w:val="10D630F1"/>
    <w:rsid w:val="11190C87"/>
    <w:rsid w:val="117F4AC3"/>
    <w:rsid w:val="11B106B8"/>
    <w:rsid w:val="11B36778"/>
    <w:rsid w:val="11EE7B3B"/>
    <w:rsid w:val="120A1364"/>
    <w:rsid w:val="1217406C"/>
    <w:rsid w:val="1220319B"/>
    <w:rsid w:val="125C50FB"/>
    <w:rsid w:val="12637B18"/>
    <w:rsid w:val="128272C8"/>
    <w:rsid w:val="12D746E8"/>
    <w:rsid w:val="12EE2027"/>
    <w:rsid w:val="131C2522"/>
    <w:rsid w:val="132F475B"/>
    <w:rsid w:val="137A5471"/>
    <w:rsid w:val="13806473"/>
    <w:rsid w:val="138537DC"/>
    <w:rsid w:val="13B575EC"/>
    <w:rsid w:val="14413B07"/>
    <w:rsid w:val="14985E63"/>
    <w:rsid w:val="14BF77D4"/>
    <w:rsid w:val="15757A6F"/>
    <w:rsid w:val="15C603C9"/>
    <w:rsid w:val="15F638C3"/>
    <w:rsid w:val="15FA4890"/>
    <w:rsid w:val="15FC2B6A"/>
    <w:rsid w:val="164E3C95"/>
    <w:rsid w:val="16786FA1"/>
    <w:rsid w:val="16B958C4"/>
    <w:rsid w:val="16C13B63"/>
    <w:rsid w:val="16E4792D"/>
    <w:rsid w:val="16F17D1E"/>
    <w:rsid w:val="17127177"/>
    <w:rsid w:val="17527900"/>
    <w:rsid w:val="175F378B"/>
    <w:rsid w:val="17AF321D"/>
    <w:rsid w:val="181E6800"/>
    <w:rsid w:val="18B4483E"/>
    <w:rsid w:val="18E047AA"/>
    <w:rsid w:val="18E53FBC"/>
    <w:rsid w:val="18F54DF5"/>
    <w:rsid w:val="19061883"/>
    <w:rsid w:val="197D7D98"/>
    <w:rsid w:val="1985457D"/>
    <w:rsid w:val="198F7ACB"/>
    <w:rsid w:val="19E62BAB"/>
    <w:rsid w:val="1A061133"/>
    <w:rsid w:val="1A1D50D7"/>
    <w:rsid w:val="1ABD6C40"/>
    <w:rsid w:val="1AC60D6B"/>
    <w:rsid w:val="1AD63D01"/>
    <w:rsid w:val="1B0E5853"/>
    <w:rsid w:val="1B772A10"/>
    <w:rsid w:val="1BC0765E"/>
    <w:rsid w:val="1C2C33AF"/>
    <w:rsid w:val="1CA70C88"/>
    <w:rsid w:val="1CB729C0"/>
    <w:rsid w:val="1CBF06C7"/>
    <w:rsid w:val="1D180A37"/>
    <w:rsid w:val="1D570900"/>
    <w:rsid w:val="1D776170"/>
    <w:rsid w:val="1D9A4940"/>
    <w:rsid w:val="1DA10708"/>
    <w:rsid w:val="1DAF6AD1"/>
    <w:rsid w:val="1DF919B7"/>
    <w:rsid w:val="1E9235F6"/>
    <w:rsid w:val="1F8374A3"/>
    <w:rsid w:val="1FC51F1A"/>
    <w:rsid w:val="1FE3647B"/>
    <w:rsid w:val="20303324"/>
    <w:rsid w:val="209715B1"/>
    <w:rsid w:val="20A07A41"/>
    <w:rsid w:val="20C363D8"/>
    <w:rsid w:val="21085104"/>
    <w:rsid w:val="21527574"/>
    <w:rsid w:val="215548D1"/>
    <w:rsid w:val="216D06F2"/>
    <w:rsid w:val="21793303"/>
    <w:rsid w:val="21B93462"/>
    <w:rsid w:val="21C4241E"/>
    <w:rsid w:val="21C63ED4"/>
    <w:rsid w:val="21DA0C87"/>
    <w:rsid w:val="22140B6D"/>
    <w:rsid w:val="22342FBD"/>
    <w:rsid w:val="22AA5F7F"/>
    <w:rsid w:val="22B801D1"/>
    <w:rsid w:val="23040BE2"/>
    <w:rsid w:val="233629CD"/>
    <w:rsid w:val="235420DC"/>
    <w:rsid w:val="236A64B3"/>
    <w:rsid w:val="2375388E"/>
    <w:rsid w:val="237870F8"/>
    <w:rsid w:val="237F4826"/>
    <w:rsid w:val="238B30B1"/>
    <w:rsid w:val="239435C9"/>
    <w:rsid w:val="23B50848"/>
    <w:rsid w:val="23DF1103"/>
    <w:rsid w:val="23FF4CA7"/>
    <w:rsid w:val="240508B2"/>
    <w:rsid w:val="24AF2705"/>
    <w:rsid w:val="25021151"/>
    <w:rsid w:val="251C461B"/>
    <w:rsid w:val="253E6EE8"/>
    <w:rsid w:val="254973BC"/>
    <w:rsid w:val="25A91F14"/>
    <w:rsid w:val="25BF5294"/>
    <w:rsid w:val="25F56254"/>
    <w:rsid w:val="26217F51"/>
    <w:rsid w:val="26812EB0"/>
    <w:rsid w:val="26B11CFF"/>
    <w:rsid w:val="26D32EC2"/>
    <w:rsid w:val="270D0281"/>
    <w:rsid w:val="277D17B0"/>
    <w:rsid w:val="27BF5635"/>
    <w:rsid w:val="27C70430"/>
    <w:rsid w:val="281A0EA7"/>
    <w:rsid w:val="281C5F26"/>
    <w:rsid w:val="28CF0D0C"/>
    <w:rsid w:val="28DD1A9A"/>
    <w:rsid w:val="28F22577"/>
    <w:rsid w:val="291032FF"/>
    <w:rsid w:val="2911750D"/>
    <w:rsid w:val="2939535D"/>
    <w:rsid w:val="29872D20"/>
    <w:rsid w:val="29C67614"/>
    <w:rsid w:val="2A336FAE"/>
    <w:rsid w:val="2A41096D"/>
    <w:rsid w:val="2A6805D6"/>
    <w:rsid w:val="2AD46A97"/>
    <w:rsid w:val="2B1902B2"/>
    <w:rsid w:val="2BD30FEC"/>
    <w:rsid w:val="2C1A2780"/>
    <w:rsid w:val="2C3A4196"/>
    <w:rsid w:val="2C3B319A"/>
    <w:rsid w:val="2C7E7C57"/>
    <w:rsid w:val="2CE73597"/>
    <w:rsid w:val="2D1E0925"/>
    <w:rsid w:val="2D7A6FB8"/>
    <w:rsid w:val="2D95786F"/>
    <w:rsid w:val="2DA059AB"/>
    <w:rsid w:val="2DE422FF"/>
    <w:rsid w:val="2E0E076F"/>
    <w:rsid w:val="2E0F4CE4"/>
    <w:rsid w:val="2E1E087E"/>
    <w:rsid w:val="2EB92AB6"/>
    <w:rsid w:val="2F2E761D"/>
    <w:rsid w:val="2F332920"/>
    <w:rsid w:val="2F5729E1"/>
    <w:rsid w:val="2FCE1F78"/>
    <w:rsid w:val="30073895"/>
    <w:rsid w:val="30213F78"/>
    <w:rsid w:val="30432BEE"/>
    <w:rsid w:val="30590D3B"/>
    <w:rsid w:val="30E6401D"/>
    <w:rsid w:val="311C2969"/>
    <w:rsid w:val="31202E64"/>
    <w:rsid w:val="31574D65"/>
    <w:rsid w:val="322E5285"/>
    <w:rsid w:val="32404663"/>
    <w:rsid w:val="32737B32"/>
    <w:rsid w:val="327D37D4"/>
    <w:rsid w:val="32855C23"/>
    <w:rsid w:val="32977E9B"/>
    <w:rsid w:val="32F131FD"/>
    <w:rsid w:val="33162E27"/>
    <w:rsid w:val="332826CA"/>
    <w:rsid w:val="33613E2E"/>
    <w:rsid w:val="33664FA1"/>
    <w:rsid w:val="33746B9D"/>
    <w:rsid w:val="33941B0E"/>
    <w:rsid w:val="33D5092E"/>
    <w:rsid w:val="33F7209D"/>
    <w:rsid w:val="33FB1B8D"/>
    <w:rsid w:val="340D25AE"/>
    <w:rsid w:val="34522550"/>
    <w:rsid w:val="34B51D60"/>
    <w:rsid w:val="34CB78BC"/>
    <w:rsid w:val="34ED2E14"/>
    <w:rsid w:val="35072585"/>
    <w:rsid w:val="356E45E1"/>
    <w:rsid w:val="35725E7F"/>
    <w:rsid w:val="35752642"/>
    <w:rsid w:val="35784B06"/>
    <w:rsid w:val="36146D1E"/>
    <w:rsid w:val="369969FF"/>
    <w:rsid w:val="36CC15BF"/>
    <w:rsid w:val="36D241B0"/>
    <w:rsid w:val="36E45762"/>
    <w:rsid w:val="37227431"/>
    <w:rsid w:val="374A6392"/>
    <w:rsid w:val="375E1638"/>
    <w:rsid w:val="376260A7"/>
    <w:rsid w:val="376B0829"/>
    <w:rsid w:val="37737A4B"/>
    <w:rsid w:val="3783321D"/>
    <w:rsid w:val="37DD50CE"/>
    <w:rsid w:val="37E42938"/>
    <w:rsid w:val="37FE2C20"/>
    <w:rsid w:val="38754708"/>
    <w:rsid w:val="38AB44D8"/>
    <w:rsid w:val="38DF324A"/>
    <w:rsid w:val="390A4620"/>
    <w:rsid w:val="397F34E4"/>
    <w:rsid w:val="39A74A1A"/>
    <w:rsid w:val="39D86DD9"/>
    <w:rsid w:val="3A033B36"/>
    <w:rsid w:val="3A0B68A2"/>
    <w:rsid w:val="3A126977"/>
    <w:rsid w:val="3A1D52D2"/>
    <w:rsid w:val="3AD07E3B"/>
    <w:rsid w:val="3AD1361B"/>
    <w:rsid w:val="3B0D76DD"/>
    <w:rsid w:val="3B1B0D67"/>
    <w:rsid w:val="3B331C0C"/>
    <w:rsid w:val="3B566CE4"/>
    <w:rsid w:val="3B9F6305"/>
    <w:rsid w:val="3CBA73A1"/>
    <w:rsid w:val="3CF77608"/>
    <w:rsid w:val="3D821A5B"/>
    <w:rsid w:val="3DE713D4"/>
    <w:rsid w:val="3DF62301"/>
    <w:rsid w:val="3E323CFC"/>
    <w:rsid w:val="3EF6C923"/>
    <w:rsid w:val="3EF83813"/>
    <w:rsid w:val="3F4E4A01"/>
    <w:rsid w:val="3F5D5973"/>
    <w:rsid w:val="3FBDD455"/>
    <w:rsid w:val="3FCF5D54"/>
    <w:rsid w:val="3FDA11F0"/>
    <w:rsid w:val="3FDB6D16"/>
    <w:rsid w:val="3FED711E"/>
    <w:rsid w:val="4028049C"/>
    <w:rsid w:val="40300E10"/>
    <w:rsid w:val="40351E18"/>
    <w:rsid w:val="403F410A"/>
    <w:rsid w:val="40B03CFF"/>
    <w:rsid w:val="41021214"/>
    <w:rsid w:val="41377F7D"/>
    <w:rsid w:val="415C005D"/>
    <w:rsid w:val="418331C2"/>
    <w:rsid w:val="418615CC"/>
    <w:rsid w:val="42342697"/>
    <w:rsid w:val="42723962"/>
    <w:rsid w:val="427856AF"/>
    <w:rsid w:val="428750D1"/>
    <w:rsid w:val="42E457AE"/>
    <w:rsid w:val="431B4707"/>
    <w:rsid w:val="43821597"/>
    <w:rsid w:val="43881B76"/>
    <w:rsid w:val="444A4FF2"/>
    <w:rsid w:val="44DD1BBC"/>
    <w:rsid w:val="451261E7"/>
    <w:rsid w:val="452935CB"/>
    <w:rsid w:val="459B7FA8"/>
    <w:rsid w:val="45D458CE"/>
    <w:rsid w:val="45E11743"/>
    <w:rsid w:val="462135E4"/>
    <w:rsid w:val="46687A77"/>
    <w:rsid w:val="46801C9C"/>
    <w:rsid w:val="46B00F72"/>
    <w:rsid w:val="46B74A1C"/>
    <w:rsid w:val="46C8165F"/>
    <w:rsid w:val="46EC4E76"/>
    <w:rsid w:val="471532B9"/>
    <w:rsid w:val="473374D6"/>
    <w:rsid w:val="47BF4E29"/>
    <w:rsid w:val="47F83F34"/>
    <w:rsid w:val="481B604A"/>
    <w:rsid w:val="49663936"/>
    <w:rsid w:val="49802948"/>
    <w:rsid w:val="498126DD"/>
    <w:rsid w:val="4A1479AD"/>
    <w:rsid w:val="4A3947A9"/>
    <w:rsid w:val="4A4200BE"/>
    <w:rsid w:val="4AEB26B3"/>
    <w:rsid w:val="4B084CA7"/>
    <w:rsid w:val="4B3C4B0D"/>
    <w:rsid w:val="4B630235"/>
    <w:rsid w:val="4B90263B"/>
    <w:rsid w:val="4B9E7576"/>
    <w:rsid w:val="4BA26273"/>
    <w:rsid w:val="4C5D4E5A"/>
    <w:rsid w:val="4CC50B32"/>
    <w:rsid w:val="4CCE6F2D"/>
    <w:rsid w:val="4CD52988"/>
    <w:rsid w:val="4D3B2BA3"/>
    <w:rsid w:val="4E0538DC"/>
    <w:rsid w:val="4E1874E8"/>
    <w:rsid w:val="4ED9170A"/>
    <w:rsid w:val="4F0F02C3"/>
    <w:rsid w:val="4F245FE4"/>
    <w:rsid w:val="4F506DD9"/>
    <w:rsid w:val="4F9D0B54"/>
    <w:rsid w:val="4FCB2F05"/>
    <w:rsid w:val="4FD11CE0"/>
    <w:rsid w:val="4FE33077"/>
    <w:rsid w:val="4FF263FB"/>
    <w:rsid w:val="4FF515BC"/>
    <w:rsid w:val="50396271"/>
    <w:rsid w:val="50595F65"/>
    <w:rsid w:val="51556929"/>
    <w:rsid w:val="5201554D"/>
    <w:rsid w:val="523A167B"/>
    <w:rsid w:val="52A6753F"/>
    <w:rsid w:val="52F53032"/>
    <w:rsid w:val="53475632"/>
    <w:rsid w:val="53A16574"/>
    <w:rsid w:val="53DF552A"/>
    <w:rsid w:val="54B84BBE"/>
    <w:rsid w:val="54C730CC"/>
    <w:rsid w:val="54D041C2"/>
    <w:rsid w:val="551335A1"/>
    <w:rsid w:val="557B15C4"/>
    <w:rsid w:val="557B26D6"/>
    <w:rsid w:val="55AA7F4A"/>
    <w:rsid w:val="56424FA2"/>
    <w:rsid w:val="56825340"/>
    <w:rsid w:val="56B84232"/>
    <w:rsid w:val="56FF5614"/>
    <w:rsid w:val="57407733"/>
    <w:rsid w:val="576D7422"/>
    <w:rsid w:val="578332CF"/>
    <w:rsid w:val="57B421FF"/>
    <w:rsid w:val="57FB30B4"/>
    <w:rsid w:val="57FC08E5"/>
    <w:rsid w:val="59722042"/>
    <w:rsid w:val="598B6C60"/>
    <w:rsid w:val="59ED743E"/>
    <w:rsid w:val="5A27795C"/>
    <w:rsid w:val="5A28422F"/>
    <w:rsid w:val="5A551621"/>
    <w:rsid w:val="5A8D302A"/>
    <w:rsid w:val="5AC578CC"/>
    <w:rsid w:val="5B417F1E"/>
    <w:rsid w:val="5B4A6DD2"/>
    <w:rsid w:val="5B57504B"/>
    <w:rsid w:val="5C02299A"/>
    <w:rsid w:val="5C0E4BEE"/>
    <w:rsid w:val="5C3D035D"/>
    <w:rsid w:val="5C4B536A"/>
    <w:rsid w:val="5C4F1C45"/>
    <w:rsid w:val="5C5E5408"/>
    <w:rsid w:val="5C6FAD28"/>
    <w:rsid w:val="5C941B9E"/>
    <w:rsid w:val="5CBD5B0A"/>
    <w:rsid w:val="5CD858CA"/>
    <w:rsid w:val="5D587BEC"/>
    <w:rsid w:val="5DA36667"/>
    <w:rsid w:val="5DAF1219"/>
    <w:rsid w:val="5DB24C2C"/>
    <w:rsid w:val="5DDE2503"/>
    <w:rsid w:val="5DE132F2"/>
    <w:rsid w:val="5E371164"/>
    <w:rsid w:val="5E4958B0"/>
    <w:rsid w:val="5E7D3D41"/>
    <w:rsid w:val="5EAC04E9"/>
    <w:rsid w:val="5EAE0678"/>
    <w:rsid w:val="5EC549C2"/>
    <w:rsid w:val="5ED63DF3"/>
    <w:rsid w:val="5F0C249C"/>
    <w:rsid w:val="5F0FF292"/>
    <w:rsid w:val="5F426EFF"/>
    <w:rsid w:val="5F71212B"/>
    <w:rsid w:val="5FB50457"/>
    <w:rsid w:val="5FB52F23"/>
    <w:rsid w:val="5FC91A22"/>
    <w:rsid w:val="5FCE4A2E"/>
    <w:rsid w:val="5FFE8B76"/>
    <w:rsid w:val="5FFF29FE"/>
    <w:rsid w:val="616D69D4"/>
    <w:rsid w:val="616F1092"/>
    <w:rsid w:val="617B4A06"/>
    <w:rsid w:val="61BF548E"/>
    <w:rsid w:val="62312A9A"/>
    <w:rsid w:val="623D39D4"/>
    <w:rsid w:val="62436329"/>
    <w:rsid w:val="624C0A27"/>
    <w:rsid w:val="62BFC336"/>
    <w:rsid w:val="62EB3D1F"/>
    <w:rsid w:val="62F13FD7"/>
    <w:rsid w:val="63061884"/>
    <w:rsid w:val="6353510B"/>
    <w:rsid w:val="6367500A"/>
    <w:rsid w:val="639B14F1"/>
    <w:rsid w:val="63DA2876"/>
    <w:rsid w:val="642108EC"/>
    <w:rsid w:val="642537B3"/>
    <w:rsid w:val="64425847"/>
    <w:rsid w:val="645A2BAC"/>
    <w:rsid w:val="64656A2B"/>
    <w:rsid w:val="648061F5"/>
    <w:rsid w:val="6482420D"/>
    <w:rsid w:val="65270184"/>
    <w:rsid w:val="65A64EE1"/>
    <w:rsid w:val="65C60144"/>
    <w:rsid w:val="65E16585"/>
    <w:rsid w:val="66494CB0"/>
    <w:rsid w:val="664D10C7"/>
    <w:rsid w:val="66723681"/>
    <w:rsid w:val="66AA4BC9"/>
    <w:rsid w:val="66F429D3"/>
    <w:rsid w:val="675E7762"/>
    <w:rsid w:val="676A25AA"/>
    <w:rsid w:val="676A7B7C"/>
    <w:rsid w:val="677F7E04"/>
    <w:rsid w:val="678707B4"/>
    <w:rsid w:val="67904E80"/>
    <w:rsid w:val="67955F7A"/>
    <w:rsid w:val="67A27F96"/>
    <w:rsid w:val="67B00EF8"/>
    <w:rsid w:val="68380492"/>
    <w:rsid w:val="68905759"/>
    <w:rsid w:val="68AC01EF"/>
    <w:rsid w:val="68F93BE6"/>
    <w:rsid w:val="692B22B4"/>
    <w:rsid w:val="69504122"/>
    <w:rsid w:val="695F6EE0"/>
    <w:rsid w:val="69670BC7"/>
    <w:rsid w:val="699B10A1"/>
    <w:rsid w:val="69CC6D87"/>
    <w:rsid w:val="6A9455F7"/>
    <w:rsid w:val="6AA45DD3"/>
    <w:rsid w:val="6B2D7B77"/>
    <w:rsid w:val="6B4132A3"/>
    <w:rsid w:val="6B4357AF"/>
    <w:rsid w:val="6B9722FD"/>
    <w:rsid w:val="6B9A4761"/>
    <w:rsid w:val="6BDD334B"/>
    <w:rsid w:val="6C0658A3"/>
    <w:rsid w:val="6CB611D0"/>
    <w:rsid w:val="6CFC1E06"/>
    <w:rsid w:val="6D0F2FC0"/>
    <w:rsid w:val="6D5373CF"/>
    <w:rsid w:val="6D7B79BF"/>
    <w:rsid w:val="6D7BE532"/>
    <w:rsid w:val="6D9F18FC"/>
    <w:rsid w:val="6E4B3BB8"/>
    <w:rsid w:val="6E7E1B48"/>
    <w:rsid w:val="6F087423"/>
    <w:rsid w:val="6F683B8E"/>
    <w:rsid w:val="6F727A5D"/>
    <w:rsid w:val="6F79782E"/>
    <w:rsid w:val="6F7F36D1"/>
    <w:rsid w:val="6FBA6AA7"/>
    <w:rsid w:val="6FF39EBC"/>
    <w:rsid w:val="702E0619"/>
    <w:rsid w:val="70360A9C"/>
    <w:rsid w:val="7036571F"/>
    <w:rsid w:val="706400D6"/>
    <w:rsid w:val="70862F0B"/>
    <w:rsid w:val="714E48D5"/>
    <w:rsid w:val="71A746DF"/>
    <w:rsid w:val="71AD1A11"/>
    <w:rsid w:val="72077373"/>
    <w:rsid w:val="726C367A"/>
    <w:rsid w:val="728F13F9"/>
    <w:rsid w:val="72C1593C"/>
    <w:rsid w:val="72D773C6"/>
    <w:rsid w:val="72FA5CB5"/>
    <w:rsid w:val="72FC13FF"/>
    <w:rsid w:val="73043513"/>
    <w:rsid w:val="73262E9D"/>
    <w:rsid w:val="73410CFE"/>
    <w:rsid w:val="73A530FF"/>
    <w:rsid w:val="73C137AD"/>
    <w:rsid w:val="741B1982"/>
    <w:rsid w:val="74604CCB"/>
    <w:rsid w:val="74EB7AAA"/>
    <w:rsid w:val="74F4431E"/>
    <w:rsid w:val="751F2C26"/>
    <w:rsid w:val="753A476D"/>
    <w:rsid w:val="7582387F"/>
    <w:rsid w:val="759009C7"/>
    <w:rsid w:val="761775BF"/>
    <w:rsid w:val="76BF7B13"/>
    <w:rsid w:val="776BFFD6"/>
    <w:rsid w:val="77B5AF61"/>
    <w:rsid w:val="77CB4ADD"/>
    <w:rsid w:val="780F1431"/>
    <w:rsid w:val="782A4F3F"/>
    <w:rsid w:val="788B1C67"/>
    <w:rsid w:val="78B10FC6"/>
    <w:rsid w:val="78C83393"/>
    <w:rsid w:val="78D65BEF"/>
    <w:rsid w:val="791E763E"/>
    <w:rsid w:val="793842B6"/>
    <w:rsid w:val="794F0342"/>
    <w:rsid w:val="799A06C8"/>
    <w:rsid w:val="79E3549E"/>
    <w:rsid w:val="7A9E73BC"/>
    <w:rsid w:val="7AAF2356"/>
    <w:rsid w:val="7ABC50AB"/>
    <w:rsid w:val="7AD101C8"/>
    <w:rsid w:val="7B0663E0"/>
    <w:rsid w:val="7B2060D8"/>
    <w:rsid w:val="7B510A55"/>
    <w:rsid w:val="7B696CAE"/>
    <w:rsid w:val="7BB87930"/>
    <w:rsid w:val="7BF65AC7"/>
    <w:rsid w:val="7C4101D9"/>
    <w:rsid w:val="7C4C347A"/>
    <w:rsid w:val="7C723083"/>
    <w:rsid w:val="7C7262AA"/>
    <w:rsid w:val="7C920BAF"/>
    <w:rsid w:val="7C945CA8"/>
    <w:rsid w:val="7CFB5D27"/>
    <w:rsid w:val="7D11554A"/>
    <w:rsid w:val="7D3905FD"/>
    <w:rsid w:val="7DD33ED5"/>
    <w:rsid w:val="7DDD2456"/>
    <w:rsid w:val="7DEA3FF1"/>
    <w:rsid w:val="7DFF8A3B"/>
    <w:rsid w:val="7E184044"/>
    <w:rsid w:val="7E1870F5"/>
    <w:rsid w:val="7E4C62D2"/>
    <w:rsid w:val="7E5F18DE"/>
    <w:rsid w:val="7E8B2353"/>
    <w:rsid w:val="7EEF1B68"/>
    <w:rsid w:val="7EF7EAC9"/>
    <w:rsid w:val="7EFF7A60"/>
    <w:rsid w:val="7F9D1F6A"/>
    <w:rsid w:val="7FB036FD"/>
    <w:rsid w:val="7FD17D13"/>
    <w:rsid w:val="7FF7704E"/>
    <w:rsid w:val="7FFDD5AB"/>
    <w:rsid w:val="9E48FC8D"/>
    <w:rsid w:val="B93A9A10"/>
    <w:rsid w:val="BBF5AC1D"/>
    <w:rsid w:val="BFE303B2"/>
    <w:rsid w:val="CA7A1B27"/>
    <w:rsid w:val="D7DD186C"/>
    <w:rsid w:val="DAFE22D5"/>
    <w:rsid w:val="DB7F7FD1"/>
    <w:rsid w:val="DBCF338D"/>
    <w:rsid w:val="DD58A571"/>
    <w:rsid w:val="DF7E6813"/>
    <w:rsid w:val="DFFED8E5"/>
    <w:rsid w:val="E55F15E9"/>
    <w:rsid w:val="EB5FD3B4"/>
    <w:rsid w:val="EBD55EC3"/>
    <w:rsid w:val="EFFD67EC"/>
    <w:rsid w:val="F0BB9231"/>
    <w:rsid w:val="F339DD1A"/>
    <w:rsid w:val="F6DF88BB"/>
    <w:rsid w:val="FB5F58A0"/>
    <w:rsid w:val="FB7BE591"/>
    <w:rsid w:val="FBBF171F"/>
    <w:rsid w:val="FBFF7E87"/>
    <w:rsid w:val="FCFB0470"/>
    <w:rsid w:val="FD7B54D3"/>
    <w:rsid w:val="FDB37FD5"/>
    <w:rsid w:val="FDD99835"/>
    <w:rsid w:val="FE5E27AD"/>
    <w:rsid w:val="FECD25E1"/>
    <w:rsid w:val="FEDE84D4"/>
    <w:rsid w:val="FF34B64E"/>
    <w:rsid w:val="FF6DBB41"/>
    <w:rsid w:val="FFADB744"/>
    <w:rsid w:val="FFB345C6"/>
    <w:rsid w:val="FFF48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qFormat/>
    <w:uiPriority w:val="0"/>
    <w:pPr>
      <w:spacing w:before="120" w:after="120" w:line="360" w:lineRule="auto"/>
      <w:ind w:firstLine="480"/>
    </w:pPr>
    <w:rPr>
      <w:rFonts w:ascii="宋体" w:hAnsi="宋体" w:eastAsia="宋体" w:cs="宋体"/>
      <w:color w:val="000000"/>
      <w:sz w:val="24"/>
      <w:szCs w:val="24"/>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Table Text"/>
    <w:basedOn w:val="1"/>
    <w:semiHidden/>
    <w:qFormat/>
    <w:uiPriority w:val="0"/>
    <w:rPr>
      <w:rFonts w:ascii="宋体" w:hAnsi="宋体" w:eastAsia="宋体" w:cs="宋体"/>
      <w:sz w:val="20"/>
      <w:szCs w:val="20"/>
      <w:lang w:val="en-US" w:eastAsia="en-US" w:bidi="ar-SA"/>
    </w:rPr>
  </w:style>
  <w:style w:type="table" w:customStyle="1" w:styleId="13">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753f545c-d1c8-44c0-95e3-646fd06bcf4a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502042FB</paraID>
      <start>276</start>
      <end>277</end>
      <status>unmodified</status>
      <modifiedWord/>
      <trackRevisions>false</trackRevisions>
    </reviewItem>
    <reviewItem>
      <errorID>a19adf50-7ac9-411f-97b4-113026b76509</errorID>
      <errorWord>-</errorWord>
      <group>L1_Format</group>
      <groupName>格式问题</groupName>
      <ability>L2_HalfPunc</ability>
      <abilityName>全半角检查</abilityName>
      <candidateList>
        <item>－</item>
      </candidateList>
      <explain>文本全半角错误。</explain>
      <paraID>6B899940</paraID>
      <start>131</start>
      <end>132</end>
      <status>unmodified</status>
      <modifiedWord/>
      <trackRevisions>false</trackRevisions>
    </reviewItem>
    <reviewItem>
      <errorID>c6ab70c9-7eba-45e4-be60-4b6a37352a54</errorID>
      <errorWord>-</errorWord>
      <group>L1_Format</group>
      <groupName>格式问题</groupName>
      <ability>L2_HalfPunc</ability>
      <abilityName>全半角检查</abilityName>
      <candidateList>
        <item>－</item>
      </candidateList>
      <explain>文本全半角错误。</explain>
      <paraID>104A5DDB</paraID>
      <start>30</start>
      <end>31</end>
      <status>unmodified</status>
      <modifiedWord/>
      <trackRevisions>false</trackRevisions>
    </reviewItem>
    <reviewItem>
      <errorID>b4a16339-e06f-442d-9f2c-0c04213fa6dd</errorID>
      <errorWord>-</errorWord>
      <group>L1_Format</group>
      <groupName>格式问题</groupName>
      <ability>L2_HalfPunc</ability>
      <abilityName>全半角检查</abilityName>
      <candidateList>
        <item>－</item>
      </candidateList>
      <explain>文本全半角错误。</explain>
      <paraID>104A5DDB</paraID>
      <start>33</start>
      <end>34</end>
      <status>unmodified</status>
      <modifiedWord/>
      <trackRevisions>false</trackRevisions>
    </reviewItem>
    <reviewItem>
      <errorID>798410f3-25af-4bd9-bf60-46368187642e</errorID>
      <errorWord>冲突特</errorWord>
      <group>L1_Word</group>
      <groupName>字词问题</groupName>
      <ability>L2_Typo</ability>
      <abilityName>字词错误</abilityName>
      <candidateList>
        <item>冲突</item>
      </candidateList>
      <explain/>
      <paraID>287AA0DF</paraID>
      <start>11</start>
      <end>13</end>
      <status>modified</status>
      <modifiedWord>冲突</modifiedWord>
      <trackRevisions>false</trackRevisions>
    </reviewItem>
    <reviewItem>
      <errorID>ac1b0425-0e97-4b62-9dbb-5f6c4f0069a1</errorID>
      <errorWord>-</errorWord>
      <group>L1_Format</group>
      <groupName>格式问题</groupName>
      <ability>L2_HalfPunc</ability>
      <abilityName>全半角检查</abilityName>
      <candidateList>
        <item>－</item>
      </candidateList>
      <explain>文本全半角错误。</explain>
      <paraID>13CBD1BC</paraID>
      <start>183</start>
      <end>184</end>
      <status>unmodified</status>
      <modifiedWord/>
      <trackRevisions>false</trackRevisions>
    </reviewItem>
    <reviewItem>
      <errorID>2429607b-180c-4dd2-9c85-12a4302b1d4c</errorID>
      <errorWord>-</errorWord>
      <group>L1_Format</group>
      <groupName>格式问题</groupName>
      <ability>L2_HalfPunc</ability>
      <abilityName>全半角检查</abilityName>
      <candidateList>
        <item>－</item>
      </candidateList>
      <explain>文本全半角错误。</explain>
      <paraID>13CBD1BC</paraID>
      <start>186</start>
      <end>187</end>
      <status>unmodified</status>
      <modifiedWord/>
      <trackRevisions>false</trackRevisions>
    </reviewItem>
    <reviewItem>
      <errorID>7104b92c-9485-49e9-996d-48441f17d3ce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315</start>
      <end>316</end>
      <status>unmodified</status>
      <modifiedWord/>
      <trackRevisions>false</trackRevisions>
    </reviewItem>
    <reviewItem>
      <errorID>166ceb25-dceb-428c-8fbc-0781fbb4ccb6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35589A88</paraID>
      <start>322</start>
      <end>323</end>
      <status>unmodified</status>
      <modifiedWord/>
      <trackRevisions>false</trackRevisions>
    </reviewItem>
    <reviewItem>
      <errorID>3a9f4ee2-3bfa-46f2-878a-573cbc03cc56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163</start>
      <end>164</end>
      <status>unmodified</status>
      <modifiedWord/>
      <trackRevisions>false</trackRevisions>
    </reviewItem>
    <reviewItem>
      <errorID>f4f2824b-f7bc-4ace-a0a0-3c7d60de5f7a</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2B17CD15</paraID>
      <start>173</start>
      <end>174</end>
      <status>unmodified</status>
      <modifiedWord/>
      <trackRevisions>false</trackRevisions>
    </reviewItem>
    <reviewItem>
      <errorID>a0739908-6f72-4db6-a126-4ce21ab71f78</errorID>
      <errorWord>下午16时</errorWord>
      <group>L1_Knowledge</group>
      <groupName>知识性问题</groupName>
      <ability>L2_Time</ability>
      <abilityName>日期时间</abilityName>
      <candidateList>
        <item>16时</item>
      </candidateList>
      <explain>24小时制的时间，不需要强调“下午”。</explain>
      <paraID>39DEB66D</paraID>
      <start>294</start>
      <end>299</end>
      <status>unmodified</status>
      <modifiedWord/>
      <trackRevisions>false</trackRevisions>
    </reviewItem>
    <reviewItem>
      <errorID>3fa583bd-6603-489c-85a6-0b3b30a655a1</errorID>
      <errorWord>（</errorWord>
      <group>L1_Format</group>
      <groupName>格式问题</groupName>
      <ability>L2_HalfPunc</ability>
      <abilityName>全半角检查</abilityName>
      <candidateList>
        <item>(</item>
      </candidateList>
      <explain>文本全半角错误。</explain>
      <paraID> C739D24</paraID>
      <start>0</start>
      <end>1</end>
      <status>unmodified</status>
      <modifiedWord/>
      <trackRevisions>false</trackRevisions>
    </reviewItem>
    <reviewItem>
      <errorID>f8ecfbeb-19cc-4ca3-a5e1-8f877327f484</errorID>
      <errorWord>）</errorWord>
      <group>L1_Format</group>
      <groupName>格式问题</groupName>
      <ability>L2_HalfPunc</ability>
      <abilityName>全半角检查</abilityName>
      <candidateList>
        <item>)</item>
      </candidateList>
      <explain>文本全半角错误。</explain>
      <paraID> C739D24</paraID>
      <start>35</start>
      <end>36</end>
      <status>unmodified</status>
      <modifiedWord/>
      <trackRevisions>false</trackRevisions>
    </reviewItem>
    <reviewItem>
      <errorID>0dd724cb-0581-4586-a790-032b573459e1</errorID>
      <errorWord>简单明确</errorWord>
      <group>L1_Knowledge</group>
      <groupName>知识性问题</groupName>
      <ability>L2_Idiom</ability>
      <abilityName>成语和诗歌</abilityName>
      <candidateList>
        <item>简单明了</item>
      </candidateList>
      <explain/>
      <paraID>66FD2A9E</paraID>
      <start>4</start>
      <end>8</end>
      <status>modified</status>
      <modifiedWord>简单明了</modifiedWord>
      <trackRevisions>false</trackRevisions>
    </reviewItem>
    <reviewItem>
      <errorID>f8defe6a-39a5-4fdb-8b14-af1d4e5efa30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118</start>
      <end>119</end>
      <status>unmodified</status>
      <modifiedWord/>
      <trackRevisions>false</trackRevisions>
    </reviewItem>
    <reviewItem>
      <errorID>72f4a9e5-699d-4c54-869a-00232cf95f83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5605055D</paraID>
      <start>197</start>
      <end>198</end>
      <status>unmodified</status>
      <modifiedWord/>
      <trackRevisions>false</trackRevisions>
    </reviewItem>
    <reviewItem>
      <errorID>0c1c96ba-c882-4201-a3e6-48661723a54f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133</start>
      <end>134</end>
      <status>unmodified</status>
      <modifiedWord/>
      <trackRevisions>false</trackRevisions>
    </reviewItem>
    <reviewItem>
      <errorID>6fbf98cf-7e0e-411a-bd10-5a3103e42533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628B8CF4</paraID>
      <start>160</start>
      <end>161</end>
      <status>unmodified</status>
      <modifiedWord/>
      <trackRevisions>false</trackRevisions>
    </reviewItem>
    <reviewItem>
      <errorID>c3115c5f-e31a-4b66-8bb1-64264e03fa3c</errorID>
      <errorWord>&gt;</errorWord>
      <group>L1_Punc</group>
      <groupName>标点问题</groupName>
      <ability>L2_Punc</ability>
      <abilityName>标点符号检查</abilityName>
      <candidateList/>
      <explain/>
      <paraID>74B40F63</paraID>
      <start>0</start>
      <end>1</end>
      <status>unmodified</status>
      <modifiedWord/>
      <trackRevisions>false</trackRevisions>
    </reviewItem>
    <reviewItem>
      <errorID>8ede3205-247b-473a-9818-8956bbe1a332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6A8A36CD</paraID>
      <start>1</start>
      <end>2</end>
      <status>unmodified</status>
      <modifiedWord/>
      <trackRevisions>false</trackRevisions>
    </reviewItem>
    <reviewItem>
      <errorID>886a9e3a-87ae-492a-91f4-468041746615</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71C98EA9</paraID>
      <start>1</start>
      <end>2</end>
      <status>unmodified</status>
      <modifiedWord/>
      <trackRevisions>false</trackRevisions>
    </reviewItem>
    <reviewItem>
      <errorID>921a75ce-bf03-452d-899b-b4c60c3abeb6</errorID>
      <errorWord>&gt;</errorWord>
      <group>L1_Punc</group>
      <groupName>标点问题</groupName>
      <ability>L2_Punc</ability>
      <abilityName>标点符号检查</abilityName>
      <candidateList/>
      <explain/>
      <paraID>3CC755BC</paraID>
      <start>0</start>
      <end>1</end>
      <status>unmodified</status>
      <modifiedWord/>
      <trackRevisions>false</trackRevisions>
    </reviewItem>
    <reviewItem>
      <errorID>c21f0544-e67a-4d65-a306-b56d44bdf95d</errorID>
      <errorWord>进行</errorWord>
      <group>L1_Word</group>
      <groupName>字词问题</groupName>
      <ability>L2_Typo</ability>
      <abilityName>字词错误</abilityName>
      <candidateList>
        <item>开展</item>
      </candidateList>
      <explain>“载荷～进行”搭配不当，建议修改为“载荷～开展”。</explain>
      <paraID>4A663793</paraID>
      <start>8</start>
      <end>10</end>
      <status>modified</status>
      <modifiedWord>开展</modifiedWord>
      <trackRevisions>false</trackRevisions>
    </reviewItem>
    <reviewItem>
      <errorID>73073eff-8d4b-43b5-83f0-57e73d2da857</errorID>
      <errorWord>(</errorWord>
      <group>L1_Format</group>
      <groupName>格式问题</groupName>
      <ability>L2_HalfPunc</ability>
      <abilityName>全半角检查</abilityName>
      <candidateList>
        <item>（</item>
      </candidateList>
      <explain>文本全半角错误。</explain>
      <paraID>4103CBD6</paraID>
      <start>5</start>
      <end>6</end>
      <status>unmodified</status>
      <modifiedWord/>
      <trackRevisions>false</trackRevisions>
    </reviewItem>
    <reviewItem>
      <errorID>c26558ac-7366-4730-b38f-63d0c48e5179</errorID>
      <errorWord>)</errorWord>
      <group>L1_Format</group>
      <groupName>格式问题</groupName>
      <ability>L2_HalfPunc</ability>
      <abilityName>全半角检查</abilityName>
      <candidateList>
        <item>）</item>
      </candidateList>
      <explain>文本全半角错误。</explain>
      <paraID>4103CBD6</paraID>
      <start>7</start>
      <end>8</end>
      <status>unmodified</status>
      <modifiedWord/>
      <trackRevisions>false</trackRevisions>
    </reviewItem>
    <reviewItem>
      <errorID>314f4aa6-75ac-4d54-9dfb-e78d542a424a</errorID>
      <errorWord>(</errorWord>
      <group>L1_Format</group>
      <groupName>格式问题</groupName>
      <ability>L2_HalfPunc</ability>
      <abilityName>全半角检查</abilityName>
      <candidateList>
        <item>（</item>
      </candidateList>
      <explain>文本全半角错误。</explain>
      <paraID>59A3EA28</paraID>
      <start>5</start>
      <end>6</end>
      <status>unmodified</status>
      <modifiedWord/>
      <trackRevisions>false</trackRevisions>
    </reviewItem>
    <reviewItem>
      <errorID>0b3a8f17-b816-4336-a606-1ce68348f76c</errorID>
      <errorWord>)</errorWord>
      <group>L1_Format</group>
      <groupName>格式问题</groupName>
      <ability>L2_HalfPunc</ability>
      <abilityName>全半角检查</abilityName>
      <candidateList>
        <item>）</item>
      </candidateList>
      <explain>文本全半角错误。</explain>
      <paraID>59A3EA28</paraID>
      <start>7</start>
      <end>8</end>
      <status>unmodified</status>
      <modifiedWord/>
      <trackRevisions>false</trackRevisions>
    </reviewItem>
    <reviewItem>
      <errorID>749e1ef8-2e18-4a22-aaaa-92e555ed1707</errorID>
      <errorWord>-</errorWord>
      <group>L1_Format</group>
      <groupName>格式问题</groupName>
      <ability>L2_HalfPunc</ability>
      <abilityName>全半角检查</abilityName>
      <candidateList>
        <item>－</item>
      </candidateList>
      <explain>文本全半角错误。</explain>
      <paraID>29105CE8</paraID>
      <start>34</start>
      <end>35</end>
      <status>unmodified</status>
      <modifiedWord/>
      <trackRevisions>false</trackRevisions>
    </reviewItem>
    <reviewItem>
      <errorID>6e935d4d-922c-4ead-bdcf-0931402b4385</errorID>
      <errorWord>-</errorWord>
      <group>L1_Format</group>
      <groupName>格式问题</groupName>
      <ability>L2_HalfPunc</ability>
      <abilityName>全半角检查</abilityName>
      <candidateList>
        <item>－</item>
      </candidateList>
      <explain>文本全半角错误。</explain>
      <paraID>29105CE8</paraID>
      <start>37</start>
      <end>38</end>
      <status>unmodified</status>
      <modifiedWord/>
      <trackRevisions>false</trackRevisions>
    </reviewItem>
    <reviewItem>
      <errorID>2175097c-6ef9-4a66-9511-cf7124f78f11</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723F8174</paraID>
      <start>4</start>
      <end>5</end>
      <status>unmodified</status>
      <modifiedWord/>
      <trackRevisions>false</trackRevisions>
    </reviewItem>
    <reviewItem>
      <errorID>1828b853-e393-4fe8-bcac-c09a69faaf63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3224D750</paraID>
      <start>4</start>
      <end>5</end>
      <status>unmodified</status>
      <modifiedWord/>
      <trackRevisions>false</trackRevisions>
    </reviewItem>
    <reviewItem>
      <errorID>cd066edd-4ad7-4585-96ec-f22c0ca54afb</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59202FAD</paraID>
      <start>5</start>
      <end>6</end>
      <status>unmodified</status>
      <modifiedWord/>
      <trackRevisions>false</trackRevisions>
    </reviewItem>
    <reviewItem>
      <errorID>4624dcbc-2e72-4e86-8e1f-c70b830ec51f</errorID>
      <errorWord>认知偏差</errorWord>
      <group>L1_Knowledge</group>
      <groupName>知识性问题</groupName>
      <ability>L2_Term</ability>
      <abilityName>专业术语</abilityName>
      <candidateList>
        <item>认知偏倚</item>
      </candidateList>
      <explain/>
      <paraID>797046D5</paraID>
      <start>356</start>
      <end>360</end>
      <status>unmodified</status>
      <modifiedWord/>
      <trackRevisions>false</trackRevisions>
    </reviewItem>
    <reviewItem>
      <errorID>4d701504-58ed-4eab-877e-b829feef93a2</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start>
      <end>3</end>
      <status>unmodified</status>
      <modifiedWord/>
      <trackRevisions>false</trackRevisions>
    </reviewItem>
    <reviewItem>
      <errorID>8a3079a1-1634-4cae-9b99-4acf5a130f28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13</start>
      <end>14</end>
      <status>unmodified</status>
      <modifiedWord/>
      <trackRevisions>false</trackRevisions>
    </reviewItem>
    <reviewItem>
      <errorID>65489c0b-848f-4284-9dbd-03ef9aff4e73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179DEB45</paraID>
      <start>23</start>
      <end>24</end>
      <status>unmodified</status>
      <modifiedWord/>
      <trackRevisions>false</trackRevisions>
    </reviewItem>
    <reviewItem>
      <errorID>946b219c-615b-4845-9256-049395c79efd</errorID>
      <errorWord>5：3分</errorWord>
      <group>L1_Knowledge</group>
      <groupName>知识性问题</groupName>
      <ability>L2_Time</ability>
      <abilityName>日期时间</abilityName>
      <candidateList>
        <item>5:3</item>
      </candidateList>
      <explain>冒号时间格式（XX:XX）后不需要加“分”，并且冒号应使用半角。</explain>
      <paraID> C8AD918</paraID>
      <start>13</start>
      <end>16</end>
      <status>modified</status>
      <modifiedWord>5:3</modifiedWord>
      <trackRevisions>false</trackRevisions>
    </reviewItem>
    <reviewItem>
      <errorID>7307d9d9-883f-4625-b135-c71e4d22a628</errorID>
      <errorWord>5：2分</errorWord>
      <group>L1_Knowledge</group>
      <groupName>知识性问题</groupName>
      <ability>L2_Time</ability>
      <abilityName>日期时间</abilityName>
      <candidateList>
        <item>5:2</item>
      </candidateList>
      <explain>冒号时间格式（XX:XX）后不需要加“分”，并且冒号应使用半角。</explain>
      <paraID> C8AD918</paraID>
      <start>37</start>
      <end>40</end>
      <status>modified</status>
      <modifiedWord>5:2</modifiedWord>
      <trackRevisions>false</trackRevisions>
    </reviewItem>
    <reviewItem>
      <errorID>0dfc3420-fdcb-4ea8-9e11-2a04cc1fc642</errorID>
      <errorWord>4：1分</errorWord>
      <group>L1_Knowledge</group>
      <groupName>知识性问题</groupName>
      <ability>L2_Time</ability>
      <abilityName>日期时间</abilityName>
      <candidateList>
        <item>4:1</item>
      </candidateList>
      <explain>冒号时间格式（XX:XX）后不需要加“分”，并且冒号应使用半角。</explain>
      <paraID> C8AD918</paraID>
      <start>60</start>
      <end>63</end>
      <status>modified</status>
      <modifiedWord>4:1</modifiedWord>
      <trackRevisions>false</trackRevisions>
    </reviewItem>
    <reviewItem>
      <errorID>b4f46fd6-9a79-487f-9497-463b8a3b6a85</errorID>
      <errorWord>3：0分</errorWord>
      <group>L1_Knowledge</group>
      <groupName>知识性问题</groupName>
      <ability>L2_Time</ability>
      <abilityName>日期时间</abilityName>
      <candidateList>
        <item>3:0</item>
      </candidateList>
      <explain>冒号时间格式（XX:XX）后不需要加“分”，并且冒号应使用半角。</explain>
      <paraID> C8AD918</paraID>
      <start>76</start>
      <end>79</end>
      <status>modified</status>
      <modifiedWord>3:0</modifiedWord>
      <trackRevisions>false</trackRevisions>
    </reviewItem>
    <reviewItem>
      <errorID>0d44e42d-541a-437c-82f9-2b706044c079</errorID>
      <errorWord>研就</errorWord>
      <group>L1_Word</group>
      <groupName>字词问题</groupName>
      <ability>L2_Typo</ability>
      <abilityName>字词错误</abilityName>
      <candidateList>
        <item>研究</item>
      </candidateList>
      <explain>〈动〉❶探求事物的真相、性质、规律等：～语言｜学术～｜调查～。❷考虑或商讨（意见、问题）：今天的会议，准备～三个重要问题｜这个方案领导上正在～。</explain>
      <paraID>78B3D629</paraID>
      <start>17</start>
      <end>19</end>
      <status>modified</status>
      <modifiedWord>研究</modifiedWord>
      <trackRevisions>false</trackRevisions>
    </reviewItem>
    <reviewItem>
      <errorID>b7b2b5f3-394e-4191-a0c2-69a07149e81f</errorID>
      <errorWord>-</errorWord>
      <group>L1_Format</group>
      <groupName>格式问题</groupName>
      <ability>L2_HalfPunc</ability>
      <abilityName>全半角检查</abilityName>
      <candidateList>
        <item>－</item>
      </candidateList>
      <explain>文本全半角错误。</explain>
      <paraID> E4AA272</paraID>
      <start>580</start>
      <end>581</end>
      <status>unmodified</status>
      <modifiedWord/>
      <trackRevisions>false</trackRevisions>
    </reviewItem>
    <reviewItem>
      <errorID>863a465b-228b-4175-bffa-0df98495f471</errorID>
      <errorWord>)</errorWord>
      <group>L1_Format</group>
      <groupName>格式问题</groupName>
      <ability>L2_HalfPunc</ability>
      <abilityName>全半角检查</abilityName>
      <candidateList>
        <item>）</item>
      </candidateList>
      <explain>文本全半角错误。</explain>
      <paraID> 4FDCFAD</paraID>
      <start>84</start>
      <end>85</end>
      <status>unmodified</status>
      <modifiedWord/>
      <trackRevisions>false</trackRevisions>
    </reviewItem>
    <reviewItem>
      <errorID>d1d1429a-b4aa-43ed-a62b-36452facaea2</errorID>
      <errorWord>)</errorWord>
      <group>L1_Format</group>
      <groupName>格式问题</groupName>
      <ability>L2_HalfPunc</ability>
      <abilityName>全半角检查</abilityName>
      <candidateList>
        <item>）</item>
      </candidateList>
      <explain>文本全半角错误。</explain>
      <paraID> 4FDCFAD</paraID>
      <start>108</start>
      <end>109</end>
      <status>unmodified</status>
      <modifiedWord/>
      <trackRevisions>false</trackRevisions>
    </reviewItem>
    <reviewItem>
      <errorID>b4b5d27a-1695-4eec-8390-50f85adcddef</errorID>
      <errorWord>-</errorWord>
      <group>L1_Format</group>
      <groupName>格式问题</groupName>
      <ability>L2_HalfPunc</ability>
      <abilityName>全半角检查</abilityName>
      <candidateList>
        <item>－</item>
      </candidateList>
      <explain>文本全半角错误。</explain>
      <paraID>1715C775</paraID>
      <start>27</start>
      <end>28</end>
      <status>unmodified</status>
      <modifiedWord/>
      <trackRevisions>false</trackRevisions>
    </reviewItem>
    <reviewItem>
      <errorID>455dc5e4-75a3-4cb2-9d1f-924c0a33cb89</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1715C775</paraID>
      <start>177</start>
      <end>178</end>
      <status>unmodified</status>
      <modifiedWord/>
      <trackRevisions>false</trackRevisions>
    </reviewItem>
    <reviewItem>
      <errorID>93d77782-bf3d-495a-8f44-68f45859ff2b</errorID>
      <errorWord>-</errorWord>
      <group>L1_Format</group>
      <groupName>格式问题</groupName>
      <ability>L2_HalfPunc</ability>
      <abilityName>全半角检查</abilityName>
      <candidateList>
        <item>－</item>
      </candidateList>
      <explain>文本全半角错误。</explain>
      <paraID>1715C775</paraID>
      <start>284</start>
      <end>285</end>
      <status>unmodified</status>
      <modifiedWord/>
      <trackRevisions>false</trackRevisions>
    </reviewItem>
    <reviewItem>
      <errorID>fc09d1d3-2086-409f-a2ad-b9fdab4c944a</errorID>
      <errorWord>-</errorWord>
      <group>L1_Format</group>
      <groupName>格式问题</groupName>
      <ability>L2_HalfPunc</ability>
      <abilityName>全半角检查</abilityName>
      <candidateList>
        <item>－</item>
      </candidateList>
      <explain>文本全半角错误。</explain>
      <paraID>1715C775</paraID>
      <start>292</start>
      <end>293</end>
      <status>unmodified</status>
      <modifiedWord/>
      <trackRevisions>false</trackRevisions>
    </reviewItem>
    <reviewItem>
      <errorID>2e8cf66d-d98b-4e81-85a7-78c9c281a6fb</errorID>
      <errorWord>-</errorWord>
      <group>L1_Format</group>
      <groupName>格式问题</groupName>
      <ability>L2_HalfPunc</ability>
      <abilityName>全半角检查</abilityName>
      <candidateList>
        <item>－</item>
      </candidateList>
      <explain>文本全半角错误。</explain>
      <paraID>1715C775</paraID>
      <start>300</start>
      <end>301</end>
      <status>unmodified</status>
      <modifiedWord/>
      <trackRevisions>false</trackRevisions>
    </reviewItem>
    <reviewItem>
      <errorID>760a2a8c-a211-4cdb-9033-7c07d3c00908</errorID>
      <errorWord>-</errorWord>
      <group>L1_Format</group>
      <groupName>格式问题</groupName>
      <ability>L2_HalfPunc</ability>
      <abilityName>全半角检查</abilityName>
      <candidateList>
        <item>－</item>
      </candidateList>
      <explain>文本全半角错误。</explain>
      <paraID>1715C775</paraID>
      <start>308</start>
      <end>309</end>
      <status>unmodified</status>
      <modifiedWord/>
      <trackRevisions>false</trackRevisions>
    </reviewItem>
    <reviewItem>
      <errorID>973a9e1e-a5af-44ca-8041-5fd3d7ff458e</errorID>
      <errorWord>-</errorWord>
      <group>L1_Format</group>
      <groupName>格式问题</groupName>
      <ability>L2_HalfPunc</ability>
      <abilityName>全半角检查</abilityName>
      <candidateList>
        <item>－</item>
      </candidateList>
      <explain>文本全半角错误。</explain>
      <paraID>1715C775</paraID>
      <start>322</start>
      <end>323</end>
      <status>unmodified</status>
      <modifiedWord/>
      <trackRevisions>false</trackRevisions>
    </reviewItem>
    <reviewItem>
      <errorID>83c31f4a-9734-45eb-8910-d8e427ca88b2</errorID>
      <errorWord>旨</errorWord>
      <group>L1_Word</group>
      <groupName>字词问题</groupName>
      <ability>L2_Typo</ability>
      <abilityName>字词错误</abilityName>
      <candidateList>
        <item>旨在</item>
      </candidateList>
      <explain/>
      <paraID>769C5B28</paraID>
      <start>3</start>
      <end>5</end>
      <status>modified</status>
      <modifiedWord>旨在</modifiedWord>
      <trackRevisions>false</trackRevisions>
    </reviewItem>
    <reviewItem>
      <errorID>61d0bdb5-d58a-4a09-8482-7f41d21a4269</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769C5B28</paraID>
      <start>159</start>
      <end>160</end>
      <status>modified</status>
      <modifiedWord>地</modifiedWord>
      <trackRevisions>false</trackRevisions>
    </reviewItem>
    <reviewItem>
      <errorID>1841541c-b51d-4bb1-a89c-5f2ec757e661</errorID>
      <errorWord>-</errorWord>
      <group>L1_Format</group>
      <groupName>格式问题</groupName>
      <ability>L2_HalfPunc</ability>
      <abilityName>全半角检查</abilityName>
      <candidateList>
        <item>－</item>
      </candidateList>
      <explain>文本全半角错误。</explain>
      <paraID>498A535C</paraID>
      <start>10</start>
      <end>11</end>
      <status>unmodified</status>
      <modifiedWord/>
      <trackRevisions>false</trackRevisions>
    </reviewItem>
    <reviewItem>
      <errorID>ee5747cb-a108-45b4-95d7-50d80b48490b</errorID>
      <errorWord>-</errorWord>
      <group>L1_Format</group>
      <groupName>格式问题</groupName>
      <ability>L2_HalfPunc</ability>
      <abilityName>全半角检查</abilityName>
      <candidateList>
        <item>－</item>
      </candidateList>
      <explain>文本全半角错误。</explain>
      <paraID>621AF45F</paraID>
      <start>73</start>
      <end>74</end>
      <status>unmodified</status>
      <modifiedWord/>
      <trackRevisions>false</trackRevisions>
    </reviewItem>
    <reviewItem>
      <errorID>9491174f-4cba-4d34-99f0-950cf7a9eefb</errorID>
      <errorWord>-</errorWord>
      <group>L1_Format</group>
      <groupName>格式问题</groupName>
      <ability>L2_HalfPunc</ability>
      <abilityName>全半角检查</abilityName>
      <candidateList>
        <item>－</item>
      </candidateList>
      <explain>文本全半角错误。</explain>
      <paraID>621AF45F</paraID>
      <start>76</start>
      <end>77</end>
      <status>unmodified</status>
      <modifiedWord/>
      <trackRevisions>false</trackRevisions>
    </reviewItem>
    <reviewItem>
      <errorID>05a4766d-18d2-434c-b6ae-b0299738e4df</errorID>
      <errorWord>的</errorWord>
      <group>L1_Word</group>
      <groupName>字词问题</groupName>
      <ability>L2_Typo</ability>
      <abilityName>字词错误</abilityName>
      <candidateList>
        <item>的设</item>
      </candidateList>
      <explain/>
      <paraID>5A507A35</paraID>
      <start>26</start>
      <end>28</end>
      <status>modified</status>
      <modifiedWord>的设</modifiedWord>
      <trackRevisions>false</trackRevisions>
    </reviewItem>
    <reviewItem>
      <errorID>b9ba6dff-a3fa-492d-9913-6655962354f7</errorID>
      <errorWord>-</errorWord>
      <group>L1_Format</group>
      <groupName>格式问题</groupName>
      <ability>L2_HalfPunc</ability>
      <abilityName>全半角检查</abilityName>
      <candidateList>
        <item>－</item>
      </candidateList>
      <explain>文本全半角错误。</explain>
      <paraID>3D07C7DC</paraID>
      <start>123</start>
      <end>124</end>
      <status>unmodified</status>
      <modifiedWord/>
      <trackRevisions>false</trackRevisions>
    </reviewItem>
    <reviewItem>
      <errorID>2526fcb6-6f8b-480d-a6b4-070708fc3792</errorID>
      <errorWord>;</errorWord>
      <group>L1_Format</group>
      <groupName>格式问题</groupName>
      <ability>L2_HalfPunc</ability>
      <abilityName>全半角检查</abilityName>
      <candidateList>
        <item>；</item>
      </candidateList>
      <explain>文本全半角错误。</explain>
      <paraID>13DC394D</paraID>
      <start>30</start>
      <end>31</end>
      <status>unmodified</status>
      <modifiedWord/>
      <trackRevisions>false</trackRevisions>
    </reviewItem>
    <reviewItem>
      <errorID>5df17a2e-21b9-46fc-804e-32a059cc80fd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595CD258</paraID>
      <start>182</start>
      <end>183</end>
      <status>unmodified</status>
      <modifiedWord/>
      <trackRevisions>false</trackRevisions>
    </reviewItem>
    <reviewItem>
      <errorID>4a89ccd9-ed73-4919-95b6-bfb9413753c2</errorID>
      <errorWord>流量地图</errorWord>
      <group>L1_Knowledge</group>
      <groupName>知识性问题</groupName>
      <ability>L2_Term</ability>
      <abilityName>专业术语</abilityName>
      <candidateList>
        <item>矢量地图</item>
      </candidateList>
      <explain/>
      <paraID>6A4F114D</paraID>
      <start>58</start>
      <end>62</end>
      <status>unmodified</status>
      <modifiedWord/>
      <trackRevisions>false</trackRevisions>
    </reviewItem>
    <reviewItem>
      <errorID>7aa9d14f-6711-4bdc-99d7-4470b2bcfd4d</errorID>
      <errorWord>参与这</errorWord>
      <group>L1_Word</group>
      <groupName>字词问题</groupName>
      <ability>L2_Typo</ability>
      <abilityName>字词错误</abilityName>
      <candidateList>
        <item>参与者</item>
      </candidateList>
      <explain/>
      <paraID>11B4E882</paraID>
      <start>14</start>
      <end>17</end>
      <status>modified</status>
      <modifiedWord>参与者</modifiedWord>
      <trackRevisions>false</trackRevisions>
    </reviewItem>
    <reviewItem>
      <errorID>584c534d-a5e1-4ccf-b4b9-28a2e125a290</errorID>
      <errorWord>-</errorWord>
      <group>L1_Format</group>
      <groupName>格式问题</groupName>
      <ability>L2_HalfPunc</ability>
      <abilityName>全半角检查</abilityName>
      <candidateList>
        <item>－</item>
      </candidateList>
      <explain>文本全半角错误。</explain>
      <paraID>5CB5F017</paraID>
      <start>50</start>
      <end>51</end>
      <status>unmodified</status>
      <modifiedWord/>
      <trackRevisions>false</trackRevisions>
    </reviewItem>
    <reviewItem>
      <errorID>0d5aa34d-5b8a-456d-b905-c34a6dc4f4f0</errorID>
      <errorWord>-</errorWord>
      <group>L1_Format</group>
      <groupName>格式问题</groupName>
      <ability>L2_HalfPunc</ability>
      <abilityName>全半角检查</abilityName>
      <candidateList>
        <item>－</item>
      </candidateList>
      <explain>文本全半角错误。</explain>
      <paraID>5CB5F017</paraID>
      <start>55</start>
      <end>56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8926c3-8fcc-4cef-826f-0f6a83b7824d}">
  <ds:schemaRefs/>
</ds:datastoreItem>
</file>

<file path=docProps/app.xml><?xml version="1.0" encoding="utf-8"?>
<Properties xmlns="http://schemas.openxmlformats.org/officeDocument/2006/extended-properties" xmlns:vt="http://schemas.openxmlformats.org/officeDocument/2006/docPropsVTypes">
  <Template>Normal.dotm</Template>
  <Pages>57</Pages>
  <Words>7657</Words>
  <Characters>8060</Characters>
  <Lines>0</Lines>
  <Paragraphs>0</Paragraphs>
  <TotalTime>29</TotalTime>
  <ScaleCrop>false</ScaleCrop>
  <LinksUpToDate>false</LinksUpToDate>
  <CharactersWithSpaces>8097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2024-12-07T21:13:00Z</dcterms:created>
  <dc:creator>M</dc:creator>
  <cp:lastModifiedBy>M</cp:lastModifiedBy>
  <dcterms:modified xsi:type="dcterms:W3CDTF">2026-09-03T14:25:33Z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AE8D17A90BC94B62BF9D2F482D65FBD9_13</vt:lpwstr>
  </property>
  <property fmtid="{D5CDD505-2E9C-101B-9397-08002B2CF9AE}" pid="4" name="KSOTemplateDocerSaveRecord">
    <vt:lpwstr>eyJoZGlkIjoiZWI0MmI4NDA5OTNkY2YyZTIwYjJlMmU2OTE0YmM3YTAiLCJ1c2VySWQiOiI0NzkxNzQxMzgifQ==</vt:lpwstr>
  </property>
</Properties>
</file>