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480" w:line="360" w:lineRule="auto"/>
        <w:jc w:val="center"/>
      </w:pPr>
      <w:r>
        <w:rPr>
          <w:rFonts w:ascii="Times New Roman" w:cs="Times New Roman" w:eastAsia="黑体" w:hAnsi="Times New Roman"/>
          <w:b w:val="false"/>
          <w:bCs w:val="false"/>
          <w:sz w:val="32"/>
          <w:szCs w:val="32"/>
        </w:rPr>
        <w:t xml:space="preserve">第2章　理论谱系：从元认知到认知韧性</w:t>
      </w:r>
    </w:p>
    <w:p>
      <w:pPr>
        <w:spacing w:after="60" w:before="0" w:line="400" w:lineRule="auto"/>
        <w:ind w:firstLine="480"/>
        <w:jc w:val="both"/>
      </w:pPr>
      <w:r>
        <w:rPr>
          <w:rFonts w:ascii="Times New Roman" w:cs="Times New Roman" w:eastAsia="宋体" w:hAnsi="Times New Roman"/>
          <w:sz w:val="24"/>
          <w:szCs w:val="24"/>
        </w:rPr>
        <w:t xml:space="preserve">第1章确立了问题的现实性，但并未提供分析这一现实的概念工具。设计者在人机协同过程中究竟丧失了什么，这种丧失又依循何种路径发生，以上问题均难以通过现象层面的描述获得回答，需要借助既有的理论资源才能得到清晰的表述。</w:t>
      </w:r>
    </w:p>
    <w:p>
      <w:pPr>
        <w:spacing w:after="60" w:before="0" w:line="400" w:lineRule="auto"/>
        <w:ind w:firstLine="480"/>
        <w:jc w:val="both"/>
      </w:pPr>
      <w:r>
        <w:rPr>
          <w:rFonts w:ascii="Times New Roman" w:cs="Times New Roman" w:eastAsia="宋体" w:hAnsi="Times New Roman"/>
          <w:sz w:val="24"/>
          <w:szCs w:val="24"/>
        </w:rPr>
        <w:t xml:space="preserve">本章主要梳理四条相关的理论脉络：元认知与认知卸载研究揭示了外部化行为的普遍机理，自动化研究揭示了能力因闲置而退化的规律，缄默知识理论说明了何种能力在这一过程中最易流失，韧性理论则提供了描述损耗条件下功能维持的概念框架。以上四条脉络各自成熟，但从未在人机协同设计这一问题上交汇。因此，本章的工作包括三个部分：第一，对四条脉络分别进行梳理；第二，检讨各条脉络的适用限度；第三，在章末将四者综合为一个可用于本书后续分析的认知韧性界定。四条理论脉络的基本情况如表2-1所示。</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表2-1 四条理论脉络及其对本书的贡献与限度</w:t>
      </w:r>
    </w:p>
    <w:p>
      <w:pPr>
        <w:spacing w:after="0" w:before="0" w:line="300" w:lineRule="auto"/>
        <w:jc w:val="center"/>
      </w:pPr>
      <w:r>
        <w:rPr>
          <w:rFonts w:ascii="Times New Roman" w:cs="Times New Roman" w:eastAsia="宋体" w:hAnsi="Times New Roman"/>
          <w:sz w:val="18"/>
          <w:szCs w:val="18"/>
        </w:rPr>
        <w:t xml:space="preserve">Four Theoretical Lineages and Their Contributions and Limitations to This Book</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理论脉络</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代表研究</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核心命题</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对本书的贡献</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适用限度</w:t>
            </w:r>
          </w:p>
        </w:tc>
      </w:tr>
      <w:tr>
        <w:trPr>
          <w:tblHeader w:val="false"/>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元认知与认知卸载</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弗拉维尔（1979）、里斯科与吉尔伯特（2016）</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个体倾向于以外部动作替代内部加工</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说明外部化的普遍机理，并指出卸载本身即元认知运作的产物</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以记忆的外部化为对象，未处理判断的外部化</w:t>
            </w:r>
          </w:p>
        </w:tc>
      </w:tr>
      <w:tr>
        <w:trPr>
          <w:tblHeader w:val="false"/>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自动化研究</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班布里奇（1983）、恩兹利等、帕拉苏拉曼与莱利</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自动化程度愈高，操作者技能愈因闲置而退化</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说明能力退化的一般规律及其在高风险领域的证据</w:t>
            </w:r>
          </w:p>
        </w:tc>
        <w:tc>
          <w:tcPr>
            <w:tcW w:type="dxa" w:w="18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以操作为对象，任务有明确正确答案且反馈即时</w:t>
            </w:r>
          </w:p>
        </w:tc>
      </w:tr>
      <w:tr>
        <w:trPr>
          <w:tblHeader w:val="false"/>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缄默知识理论</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波兰尼（1966）、克罗斯、舍恩、德雷福斯兄弟</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高阶专业能力根植于不可完全形式化的具身实践</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说明何种能力在卸载中最易流失，并推出代价的阶段依赖性</w:t>
            </w:r>
          </w:p>
        </w:tc>
        <w:tc>
          <w:tcPr>
            <w:tcW w:type="dxa" w:w="18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侧重知识的性质描述，未涉及人机分工的具体安排</w:t>
            </w:r>
          </w:p>
        </w:tc>
      </w:tr>
      <w:tr>
        <w:trPr>
          <w:tblHeader w:val="false"/>
        </w:trPr>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韧性理论</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霍林（1973）、发展心理学与认知储备研究</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系统在承受扰动的同时维持自身结构与功能</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提供损耗条件下功能维持的描述框架</w:t>
            </w:r>
          </w:p>
        </w:tc>
        <w:tc>
          <w:tcPr>
            <w:tcW w:type="dxa" w:w="18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所论损耗为外生且不可欲，与自愿性卸载性质不同</w:t>
            </w:r>
          </w:p>
        </w:tc>
      </w:tr>
    </w:tbl>
    <w:p>
      <w:pPr>
        <w:spacing w:line="200" w:lineRule="auto"/>
      </w:pPr>
      <w:r>
        <w:rPr>
          <w:sz w:val="18"/>
          <w:szCs w:val="18"/>
        </w:rPr>
        <w:t xml:space="preserve"/>
      </w:r>
    </w:p>
    <w:p>
      <w:pPr>
        <w:pStyle w:val="Heading2"/>
        <w:spacing w:after="220" w:before="400" w:line="360" w:lineRule="auto"/>
        <w:jc w:val="left"/>
      </w:pPr>
      <w:r>
        <w:rPr>
          <w:rFonts w:ascii="Times New Roman" w:cs="Times New Roman" w:eastAsia="黑体" w:hAnsi="Times New Roman"/>
          <w:b w:val="false"/>
          <w:bCs w:val="false"/>
          <w:sz w:val="28"/>
          <w:szCs w:val="28"/>
        </w:rPr>
        <w:t xml:space="preserve">2.1　元认知与认知卸载</w:t>
      </w:r>
    </w:p>
    <w:p>
      <w:pPr>
        <w:spacing w:after="60" w:before="0" w:line="400" w:lineRule="auto"/>
        <w:ind w:firstLine="480"/>
        <w:jc w:val="both"/>
      </w:pPr>
      <w:r>
        <w:rPr>
          <w:rFonts w:ascii="Times New Roman" w:cs="Times New Roman" w:eastAsia="宋体" w:hAnsi="Times New Roman"/>
          <w:sz w:val="24"/>
          <w:szCs w:val="24"/>
        </w:rPr>
        <w:t xml:space="preserve">认知卸载行为发生于个体对自身认知状态的评估之上，因此有必要首先厘清元认知的概念结构，再考察认知卸载研究的既有成果及其适用限度。本节依次讨论元认知的构成与监控失准、认知卸载的谱系与判断卸载的特殊性、合意困难所揭示的效率与能力形成之间的张力，以及卸载决策的成本收益结构。</w:t>
      </w:r>
    </w:p>
    <w:p>
      <w:pPr>
        <w:pStyle w:val="Heading3"/>
        <w:spacing w:after="160" w:before="240" w:line="360" w:lineRule="auto"/>
        <w:jc w:val="left"/>
      </w:pPr>
      <w:r>
        <w:rPr>
          <w:rFonts w:ascii="Times New Roman" w:cs="Times New Roman" w:eastAsia="黑体" w:hAnsi="Times New Roman"/>
          <w:b/>
          <w:bCs/>
          <w:sz w:val="24"/>
          <w:szCs w:val="24"/>
        </w:rPr>
        <w:t xml:space="preserve">2.1.1　元认知：概念结构与监控的失准</w:t>
      </w:r>
    </w:p>
    <w:p>
      <w:pPr>
        <w:spacing w:after="60" w:before="0" w:line="400" w:lineRule="auto"/>
        <w:ind w:firstLine="480"/>
        <w:jc w:val="both"/>
      </w:pPr>
      <w:r>
        <w:rPr>
          <w:rFonts w:ascii="Times New Roman" w:cs="Times New Roman" w:eastAsia="宋体" w:hAnsi="Times New Roman"/>
          <w:sz w:val="24"/>
          <w:szCs w:val="24"/>
        </w:rPr>
        <w:t xml:space="preserve">元认知（metacognition）概念由弗拉维尔（Flavell，1979）在认知发展研究中系统提出，指个体对自身认知过程的知识与调控</w:t>
      </w:r>
      <w:r>
        <w:rPr>
          <w:rFonts w:ascii="Times New Roman" w:cs="Times New Roman" w:eastAsia="宋体" w:hAnsi="Times New Roman"/>
          <w:sz w:val="24"/>
          <w:szCs w:val="24"/>
          <w:vertAlign w:val="superscript"/>
        </w:rPr>
        <w:t xml:space="preserve">[1]</w:t>
      </w:r>
      <w:r>
        <w:rPr>
          <w:rFonts w:ascii="Times New Roman" w:cs="Times New Roman" w:eastAsia="宋体" w:hAnsi="Times New Roman"/>
          <w:sz w:val="24"/>
          <w:szCs w:val="24"/>
        </w:rPr>
        <w:t xml:space="preserve">。其经典表述将元认知划分为元认知知识、元认知体验、认知目标与认知策略四个成分。其中，贯穿以上成分的核心机能是监控与调节，即个体在执行认知任务的同时持续评估自身的理解程度与进展状况，并据此调整策略。</w:t>
      </w:r>
    </w:p>
    <w:p>
      <w:pPr>
        <w:spacing w:after="60" w:before="0" w:line="400" w:lineRule="auto"/>
        <w:ind w:firstLine="480"/>
        <w:jc w:val="both"/>
      </w:pPr>
      <w:r>
        <w:rPr>
          <w:rFonts w:ascii="Times New Roman" w:cs="Times New Roman" w:eastAsia="宋体" w:hAnsi="Times New Roman"/>
          <w:sz w:val="24"/>
          <w:szCs w:val="24"/>
        </w:rPr>
        <w:t xml:space="preserve">元认知之所以构成本书的理论起点，在于一项直接的关联：是否借助外力本身就是一个元认知判断。设计者决定将某项任务交付生成式工具，其依据是他对该任务难度的估计、对自身能力的评估以及对工具可靠性的预期，以上三者均属元认知知识的范畴。这意味着，认知卸载并非在元认知之外发生的行为，而恰恰是元认知运作的产物。因此，若元认知本身发生偏差，卸载决策便会系统性地失当。</w:t>
      </w:r>
    </w:p>
    <w:p>
      <w:pPr>
        <w:spacing w:after="60" w:before="0" w:line="400" w:lineRule="auto"/>
        <w:ind w:firstLine="480"/>
        <w:jc w:val="both"/>
      </w:pPr>
      <w:r>
        <w:rPr>
          <w:rFonts w:ascii="Times New Roman" w:cs="Times New Roman" w:eastAsia="宋体" w:hAnsi="Times New Roman"/>
          <w:sz w:val="24"/>
          <w:szCs w:val="24"/>
        </w:rPr>
        <w:t xml:space="preserve">但元认知监控确实可能失准。认知心理学关于学习判断（judgment of learning，JOL）的大量研究表明，个体对自身掌握程度的估计常与实际表现相脱节，流畅的加工体验容易被误认作理解的深入，即所谓知晓错觉（illusion of knowing）</w:t>
      </w:r>
      <w:r>
        <w:rPr>
          <w:rFonts w:ascii="Times New Roman" w:cs="Times New Roman" w:eastAsia="宋体" w:hAnsi="Times New Roman"/>
          <w:color w:val="C00000"/>
          <w:sz w:val="24"/>
          <w:szCs w:val="24"/>
        </w:rPr>
        <w:t xml:space="preserve">【待补：JOL 与知晓错觉的代表性实证研究】</w:t>
      </w:r>
      <w:r>
        <w:rPr>
          <w:rFonts w:ascii="Times New Roman" w:cs="Times New Roman" w:eastAsia="宋体" w:hAnsi="Times New Roman"/>
          <w:sz w:val="24"/>
          <w:szCs w:val="24"/>
        </w:rPr>
        <w:t xml:space="preserve">。这一发现对本书具有直接含义：当生成式工具以高度流畅的方式呈现结果时，使用者所获得的正是一种加工流畅的体验，而这种体验极易被误读为“我理解了这个方案”或“我作出了判断”。因此，设计者可能在自认为仍在判断的同时，实际上已经停止判断。以上自我认知与实际状态的背离，是后文讨论衰减何以不被察觉时的关键线索。</w:t>
      </w:r>
    </w:p>
    <w:p>
      <w:pPr>
        <w:pStyle w:val="Heading3"/>
        <w:spacing w:after="160" w:before="240" w:line="360" w:lineRule="auto"/>
        <w:jc w:val="left"/>
      </w:pPr>
      <w:r>
        <w:rPr>
          <w:rFonts w:ascii="Times New Roman" w:cs="Times New Roman" w:eastAsia="黑体" w:hAnsi="Times New Roman"/>
          <w:b/>
          <w:bCs/>
          <w:sz w:val="24"/>
          <w:szCs w:val="24"/>
        </w:rPr>
        <w:t xml:space="preserve">2.1.2　认知卸载：从记忆的外部化到判断的外部化</w:t>
      </w:r>
    </w:p>
    <w:p>
      <w:pPr>
        <w:spacing w:after="60" w:before="0" w:line="400" w:lineRule="auto"/>
        <w:ind w:firstLine="480"/>
        <w:jc w:val="both"/>
      </w:pPr>
      <w:r>
        <w:rPr>
          <w:rFonts w:ascii="Times New Roman" w:cs="Times New Roman" w:eastAsia="宋体" w:hAnsi="Times New Roman"/>
          <w:sz w:val="24"/>
          <w:szCs w:val="24"/>
        </w:rPr>
        <w:t xml:space="preserve">认知卸载（cognitive offloading）概念由里斯科与吉尔伯特（Risko &amp; Gilbert，2016）加以系统化，指个体以外部动作替代内部加工，以降低自身的认知需求</w:t>
      </w:r>
      <w:r>
        <w:rPr>
          <w:rFonts w:ascii="Times New Roman" w:cs="Times New Roman" w:eastAsia="宋体" w:hAnsi="Times New Roman"/>
          <w:sz w:val="24"/>
          <w:szCs w:val="24"/>
          <w:vertAlign w:val="superscript"/>
        </w:rPr>
        <w:t xml:space="preserve">[2]</w:t>
      </w:r>
      <w:r>
        <w:rPr>
          <w:rFonts w:ascii="Times New Roman" w:cs="Times New Roman" w:eastAsia="宋体" w:hAnsi="Times New Roman"/>
          <w:sz w:val="24"/>
          <w:szCs w:val="24"/>
        </w:rPr>
        <w:t xml:space="preserve">。这一概念有其更早的谱系。首先，韦格纳（Wegner，1985）提出的交互记忆系统（transactive memory system）描述了群体成员如何将记忆任务分派于他人</w:t>
      </w:r>
      <w:r>
        <w:rPr>
          <w:rFonts w:ascii="Times New Roman" w:cs="Times New Roman" w:eastAsia="宋体" w:hAnsi="Times New Roman"/>
          <w:sz w:val="24"/>
          <w:szCs w:val="24"/>
          <w:vertAlign w:val="superscript"/>
        </w:rPr>
        <w:t xml:space="preserve">[3]</w:t>
      </w:r>
      <w:r>
        <w:rPr>
          <w:rFonts w:ascii="Times New Roman" w:cs="Times New Roman" w:eastAsia="宋体" w:hAnsi="Times New Roman"/>
          <w:sz w:val="24"/>
          <w:szCs w:val="24"/>
        </w:rPr>
        <w:t xml:space="preserve">。其次，克拉克与查尔默斯（Clark &amp; Chalmers，1998）的延展心智（extended mind）论证主张，外部载体在功能上可以构成认知系统的一部分</w:t>
      </w:r>
      <w:r>
        <w:rPr>
          <w:rFonts w:ascii="Times New Roman" w:cs="Times New Roman" w:eastAsia="宋体" w:hAnsi="Times New Roman"/>
          <w:sz w:val="24"/>
          <w:szCs w:val="24"/>
          <w:vertAlign w:val="superscript"/>
        </w:rPr>
        <w:t xml:space="preserve">[4]</w:t>
      </w:r>
      <w:r>
        <w:rPr>
          <w:rFonts w:ascii="Times New Roman" w:cs="Times New Roman" w:eastAsia="宋体" w:hAnsi="Times New Roman"/>
          <w:sz w:val="24"/>
          <w:szCs w:val="24"/>
        </w:rPr>
        <w:t xml:space="preserve">。另外，斯帕罗等人（Sparrow et al.，2011）关于搜索引擎影响记忆的研究以实验显示，人们在预期信息可被检索时，对信息本身的记忆减弱而对检索路径的记忆增强</w:t>
      </w:r>
      <w:r>
        <w:rPr>
          <w:rFonts w:ascii="Times New Roman" w:cs="Times New Roman" w:eastAsia="宋体" w:hAnsi="Times New Roman"/>
          <w:sz w:val="24"/>
          <w:szCs w:val="24"/>
          <w:vertAlign w:val="superscript"/>
        </w:rPr>
        <w:t xml:space="preserve">[5]</w:t>
      </w:r>
      <w:r>
        <w:rPr>
          <w:rFonts w:ascii="Times New Roman" w:cs="Times New Roman" w:eastAsia="宋体" w:hAnsi="Times New Roman"/>
          <w:sz w:val="24"/>
          <w:szCs w:val="24"/>
        </w:rPr>
        <w:t xml:space="preserve">。</w:t>
      </w:r>
    </w:p>
    <w:p>
      <w:pPr>
        <w:spacing w:after="60" w:before="0" w:line="400" w:lineRule="auto"/>
        <w:ind w:firstLine="480"/>
        <w:jc w:val="both"/>
      </w:pPr>
      <w:r>
        <w:rPr>
          <w:rFonts w:ascii="Times New Roman" w:cs="Times New Roman" w:eastAsia="宋体" w:hAnsi="Times New Roman"/>
          <w:sz w:val="24"/>
          <w:szCs w:val="24"/>
        </w:rPr>
        <w:t xml:space="preserve">以上研究共同确立了两点认识。第一，外部化是人类认知的常态而非例外，其历史与工具的历史同样久远。第二，外部化并非单纯的能力丧失，而伴随着认知资源的重新配置，即记住路径而非内容本身也是一种适应。因此，本书在中性意义上使用认知卸载概念：卸载既非缺陷亦非过错，而是有限认知资源条件下的理性策略。</w:t>
      </w:r>
    </w:p>
    <w:p>
      <w:pPr>
        <w:spacing w:after="60" w:before="0" w:line="400" w:lineRule="auto"/>
        <w:ind w:firstLine="480"/>
        <w:jc w:val="both"/>
      </w:pPr>
      <w:r>
        <w:rPr>
          <w:rFonts w:ascii="Times New Roman" w:cs="Times New Roman" w:eastAsia="宋体" w:hAnsi="Times New Roman"/>
          <w:sz w:val="24"/>
          <w:szCs w:val="24"/>
        </w:rPr>
        <w:t xml:space="preserve">但需要指出的是，既有研究的绝大部分以记忆的外部化为对象，而本书所关注的是判断的外部化。二者虽然同属卸载，但在性质上存在一处根本差别，这一差别构成本书的一个基本判断，即记忆的卸载是可回取的，判断的卸载则不可回取。</w:t>
      </w:r>
    </w:p>
    <w:p>
      <w:pPr>
        <w:spacing w:after="60" w:before="0" w:line="400" w:lineRule="auto"/>
        <w:ind w:firstLine="480"/>
        <w:jc w:val="both"/>
      </w:pPr>
      <w:r>
        <w:rPr>
          <w:rFonts w:ascii="Times New Roman" w:cs="Times New Roman" w:eastAsia="宋体" w:hAnsi="Times New Roman"/>
          <w:sz w:val="24"/>
          <w:szCs w:val="24"/>
        </w:rPr>
        <w:t xml:space="preserve">其原因在于：当记忆被卸载至外部载体时，被卸载的内容仍然存在，只是不存在于个体的头脑之中，个体丧失的是即时提取的便捷，而非获取该内容的可能，一旦需要随时可以查询。而当判断被卸载至生成式模型时，被卸载的不是某一项具体的判断结果，而是作出判断的能力本身，这种能力并未被存放于任何可供查询的地方，只是因长期不用而萎缩，个体丧失之后无处可查，也无从借还。由此可见，记忆卸载所改变的是知识的存放位置，判断卸载所改变的则是能力的存续状态，二者的具体差异如表2-2所示，认知卸载的谱系与判断卸载在其中的位置如图2-1所示。既有的认知卸载研究因其对象所限，尚未充分处理这一差别，而本书全部问题的严重性正在于此。</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表2-2 记忆卸载与判断卸载的性质比较</w:t>
      </w:r>
    </w:p>
    <w:p>
      <w:pPr>
        <w:spacing w:after="0" w:before="0" w:line="300" w:lineRule="auto"/>
        <w:jc w:val="center"/>
      </w:pPr>
      <w:r>
        <w:rPr>
          <w:rFonts w:ascii="Times New Roman" w:cs="Times New Roman" w:eastAsia="宋体" w:hAnsi="Times New Roman"/>
          <w:sz w:val="18"/>
          <w:szCs w:val="18"/>
        </w:rPr>
        <w:t xml:space="preserve">Comparison of Memory Offloading and Judgment Offloading</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比较维度</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记忆卸载</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判断卸载</w:t>
            </w:r>
          </w:p>
        </w:tc>
      </w:tr>
      <w:tr>
        <w:trPr>
          <w:tblHeader w:val="false"/>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被卸载的对象</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具体的信息内容</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作出判断的能力</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卸载后的存放位置</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外部载体（笔记、数据库、检索系统）</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无处存放</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个体所丧失者</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即时提取的便捷</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能力本身</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可回取性</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可回取，随时查询</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不可回取，无从借还</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变化机制</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位置转移，内容不减损</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因长期闲置而萎缩</w:t>
            </w:r>
          </w:p>
        </w:tc>
      </w:tr>
      <w:tr>
        <w:trPr>
          <w:tblHeader w:val="false"/>
        </w:trPr>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可察觉性</w:t>
            </w:r>
          </w:p>
        </w:tc>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易察觉，查询动作即为提示</w:t>
            </w:r>
          </w:p>
        </w:tc>
        <w:tc>
          <w:tcPr>
            <w:tcW w:type="dxa" w:w="3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难察觉，无外部指标</w:t>
            </w:r>
          </w:p>
        </w:tc>
      </w:tr>
    </w:tbl>
    <w:p>
      <w:pPr>
        <w:spacing w:line="200" w:lineRule="auto"/>
      </w:pPr>
      <w:r>
        <w:rPr>
          <w:sz w:val="18"/>
          <w:szCs w:val="18"/>
        </w:rPr>
        <w:t xml:space="preserve"/>
      </w:r>
    </w:p>
    <w:p>
      <w:pPr>
        <w:spacing w:after="120" w:before="120" w:line="400" w:lineRule="auto"/>
        <w:jc w:val="center"/>
      </w:pPr>
      <w:r>
        <w:rPr>
          <w:rFonts w:ascii="Times New Roman" w:cs="Times New Roman" w:eastAsia="宋体" w:hAnsi="Times New Roman"/>
          <w:color w:val="808080"/>
          <w:sz w:val="24"/>
          <w:szCs w:val="24"/>
        </w:rPr>
        <w:t xml:space="preserve">［此处插入图2-1］</w:t>
      </w:r>
    </w:p>
    <w:p>
      <w:pPr>
        <w:spacing w:after="0" w:before="0" w:line="300" w:lineRule="auto"/>
        <w:jc w:val="center"/>
      </w:pPr>
      <w:r>
        <w:rPr>
          <w:rFonts w:ascii="Times New Roman" w:cs="Times New Roman" w:eastAsia="宋体" w:hAnsi="Times New Roman"/>
          <w:sz w:val="18"/>
          <w:szCs w:val="18"/>
        </w:rPr>
        <w:t xml:space="preserve">图2-1 认知卸载的谱系与判断卸载的位置</w:t>
      </w:r>
    </w:p>
    <w:p>
      <w:pPr>
        <w:spacing w:after="0" w:before="0" w:line="300" w:lineRule="auto"/>
        <w:jc w:val="center"/>
      </w:pPr>
      <w:r>
        <w:rPr>
          <w:rFonts w:ascii="Times New Roman" w:cs="Times New Roman" w:eastAsia="宋体" w:hAnsi="Times New Roman"/>
          <w:sz w:val="18"/>
          <w:szCs w:val="18"/>
        </w:rPr>
        <w:t xml:space="preserve">The Lineage of Cognitive Offloading and the Position of Judgment Offloading</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2.1.3　合意困难：效率与能力形成之间的张力</w:t>
      </w:r>
    </w:p>
    <w:p>
      <w:pPr>
        <w:spacing w:after="60" w:before="0" w:line="400" w:lineRule="auto"/>
        <w:ind w:firstLine="480"/>
        <w:jc w:val="both"/>
      </w:pPr>
      <w:r>
        <w:rPr>
          <w:rFonts w:ascii="Times New Roman" w:cs="Times New Roman" w:eastAsia="宋体" w:hAnsi="Times New Roman"/>
          <w:sz w:val="24"/>
          <w:szCs w:val="24"/>
        </w:rPr>
        <w:t xml:space="preserve">卸载的代价还可以从学习研究的角度获得说明。比约克夫妇（Bjork &amp; Bjork，2011）所提出的合意困难（desirable difficulties）概念指出，学习过程中适度的困难虽然会降低即时的表现，却能显著提升长期的保持与迁移；反之，那些使学习过程变得轻松流畅的安排，往往以牺牲长期效果为代价</w:t>
      </w:r>
      <w:r>
        <w:rPr>
          <w:rFonts w:ascii="Times New Roman" w:cs="Times New Roman" w:eastAsia="宋体" w:hAnsi="Times New Roman"/>
          <w:sz w:val="24"/>
          <w:szCs w:val="24"/>
          <w:vertAlign w:val="superscript"/>
        </w:rPr>
        <w:t xml:space="preserve">[6]</w:t>
      </w:r>
      <w:r>
        <w:rPr>
          <w:rFonts w:ascii="Times New Roman" w:cs="Times New Roman" w:eastAsia="宋体" w:hAnsi="Times New Roman"/>
          <w:sz w:val="24"/>
          <w:szCs w:val="24"/>
        </w:rPr>
        <w:t xml:space="preserve">。这一发现揭示了效率与能力形成之间的结构性张力，即并非所有的困难都应当被消除，某些困难恰恰是能力得以形成的条件。</w:t>
      </w:r>
    </w:p>
    <w:p>
      <w:pPr>
        <w:spacing w:after="60" w:before="0" w:line="400" w:lineRule="auto"/>
        <w:ind w:firstLine="480"/>
        <w:jc w:val="both"/>
      </w:pPr>
      <w:r>
        <w:rPr>
          <w:rFonts w:ascii="Times New Roman" w:cs="Times New Roman" w:eastAsia="宋体" w:hAnsi="Times New Roman"/>
          <w:sz w:val="24"/>
          <w:szCs w:val="24"/>
        </w:rPr>
        <w:t xml:space="preserve">将这一认识引入本书的语境，可以得出一项重要推论：生成式工具所消除的困难之中，有一部分正属于合意困难。方案构想的艰难、反复推敲的迟缓、被否定后重来的挫折，以上环节在效率视角下均属应予消除的摩擦，而在能力形成的视角下则是不可替代的锻炼。这意味着，工具的优化目标与能力的形成条件在此处发生了方向性的背离，即工具愈是成功地消除摩擦，能力形成的条件便愈是被削弱。</w:t>
      </w:r>
    </w:p>
    <w:p>
      <w:pPr>
        <w:spacing w:after="60" w:before="0" w:line="400" w:lineRule="auto"/>
        <w:ind w:firstLine="480"/>
        <w:jc w:val="both"/>
      </w:pPr>
      <w:r>
        <w:rPr>
          <w:rFonts w:ascii="Times New Roman" w:cs="Times New Roman" w:eastAsia="宋体" w:hAnsi="Times New Roman"/>
          <w:sz w:val="24"/>
          <w:szCs w:val="24"/>
        </w:rPr>
        <w:t xml:space="preserve">这一推论具有双重意义。首先，就诊断而言，它解释了效率的改善与能力的衰退何以可以同时发生而不相矛盾。其次，就干预而言，它为本书第6章所提出的认知摩擦注入提供了直接的理论依据，即若某些困难是能力形成的条件，那么在恰当的位置重新引入困难便不是对效率的无谓损害，而是对能力条件的必要保全。但需要强调的是，合意困难之所以“合意”，取决于困难的类型、位置与强度，任何一项均不得含糊，不加区分地增加阻力只会带来纯粹的负担。因此，何处应当保留困难、何处不应，正是第4章边界判据所要回答的问题。</w:t>
      </w:r>
    </w:p>
    <w:p>
      <w:pPr>
        <w:pStyle w:val="Heading3"/>
        <w:spacing w:after="160" w:before="240" w:line="360" w:lineRule="auto"/>
        <w:jc w:val="left"/>
      </w:pPr>
      <w:r>
        <w:rPr>
          <w:rFonts w:ascii="Times New Roman" w:cs="Times New Roman" w:eastAsia="黑体" w:hAnsi="Times New Roman"/>
          <w:b/>
          <w:bCs/>
          <w:sz w:val="24"/>
          <w:szCs w:val="24"/>
        </w:rPr>
        <w:t xml:space="preserve">2.1.4　卸载决策的成本收益结构</w:t>
      </w:r>
    </w:p>
    <w:p>
      <w:pPr>
        <w:spacing w:after="60" w:before="0" w:line="400" w:lineRule="auto"/>
        <w:ind w:firstLine="480"/>
        <w:jc w:val="both"/>
      </w:pPr>
      <w:r>
        <w:rPr>
          <w:rFonts w:ascii="Times New Roman" w:cs="Times New Roman" w:eastAsia="宋体" w:hAnsi="Times New Roman"/>
          <w:sz w:val="24"/>
          <w:szCs w:val="24"/>
        </w:rPr>
        <w:t xml:space="preserve">最后需要考察一个容易被忽略的问题：设计者究竟依据什么决定是否卸载？这一问题关系重大，因为任何干预方案均须作用于这一决策过程。</w:t>
      </w:r>
    </w:p>
    <w:p>
      <w:pPr>
        <w:spacing w:after="60" w:before="0" w:line="400" w:lineRule="auto"/>
        <w:ind w:firstLine="480"/>
        <w:jc w:val="both"/>
      </w:pPr>
      <w:r>
        <w:rPr>
          <w:rFonts w:ascii="Times New Roman" w:cs="Times New Roman" w:eastAsia="宋体" w:hAnsi="Times New Roman"/>
          <w:sz w:val="24"/>
          <w:szCs w:val="24"/>
        </w:rPr>
        <w:t xml:space="preserve">卸载决策在本质上是一次即时的成本收益权衡，而这一权衡的两侧具有高度不对称的性质。首先，就收益而言，卸载所带来的时间节省与负担减轻是即时的、确定的、可直接感知的，一项原需数小时的工作在数分钟内完成，其收益无须任何推断即可体验。其次，就代价而言，判断能力的退化则是延迟的、不确定的，且在单次尺度上微小到无法感知，任何一次卸载所造成的边际损害均低于个体的感知阈值，其累积效应须经数月乃至数年才开始显现，且届时也难以归因于任何一次具体的卸载，二者的不对称结构如图2-2所示。</w:t>
      </w:r>
    </w:p>
    <w:p>
      <w:pPr>
        <w:spacing w:after="120" w:before="120" w:line="400" w:lineRule="auto"/>
        <w:jc w:val="center"/>
      </w:pPr>
      <w:r>
        <w:rPr>
          <w:rFonts w:ascii="Times New Roman" w:cs="Times New Roman" w:eastAsia="宋体" w:hAnsi="Times New Roman"/>
          <w:color w:val="808080"/>
          <w:sz w:val="24"/>
          <w:szCs w:val="24"/>
        </w:rPr>
        <w:t xml:space="preserve">［此处插入图2-2］</w:t>
      </w:r>
    </w:p>
    <w:p>
      <w:pPr>
        <w:spacing w:after="0" w:before="0" w:line="300" w:lineRule="auto"/>
        <w:jc w:val="center"/>
      </w:pPr>
      <w:r>
        <w:rPr>
          <w:rFonts w:ascii="Times New Roman" w:cs="Times New Roman" w:eastAsia="宋体" w:hAnsi="Times New Roman"/>
          <w:sz w:val="18"/>
          <w:szCs w:val="18"/>
        </w:rPr>
        <w:t xml:space="preserve">图2-2 卸载决策中收益与代价的不对称结构</w:t>
      </w:r>
    </w:p>
    <w:p>
      <w:pPr>
        <w:spacing w:after="0" w:before="0" w:line="300" w:lineRule="auto"/>
        <w:jc w:val="center"/>
      </w:pPr>
      <w:r>
        <w:rPr>
          <w:rFonts w:ascii="Times New Roman" w:cs="Times New Roman" w:eastAsia="宋体" w:hAnsi="Times New Roman"/>
          <w:sz w:val="18"/>
          <w:szCs w:val="18"/>
        </w:rPr>
        <w:t xml:space="preserve">The Asymmetric Structure of Benefits and Costs in Offloading Decisions</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spacing w:after="60" w:before="0" w:line="400" w:lineRule="auto"/>
        <w:ind w:firstLine="480"/>
        <w:jc w:val="both"/>
      </w:pPr>
      <w:r>
        <w:rPr>
          <w:rFonts w:ascii="Times New Roman" w:cs="Times New Roman" w:eastAsia="宋体" w:hAnsi="Times New Roman"/>
          <w:sz w:val="24"/>
          <w:szCs w:val="24"/>
        </w:rPr>
        <w:t xml:space="preserve">这种不对称在跨期选择（intertemporal choice）研究中并不陌生。人对远期后果存在系统性的低估，即所谓时间贴现（temporal discounting）；而当远期后果不仅遥远且不确定、其与当前行为的因果链条也不清晰时，低估的幅度将进一步扩大</w:t>
      </w:r>
      <w:r>
        <w:rPr>
          <w:rFonts w:ascii="Times New Roman" w:cs="Times New Roman" w:eastAsia="宋体" w:hAnsi="Times New Roman"/>
          <w:color w:val="C00000"/>
          <w:sz w:val="24"/>
          <w:szCs w:val="24"/>
        </w:rPr>
        <w:t xml:space="preserve">【待补：跨期选择与时间贴现的代表性文献】</w:t>
      </w:r>
      <w:r>
        <w:rPr>
          <w:rFonts w:ascii="Times New Roman" w:cs="Times New Roman" w:eastAsia="宋体" w:hAnsi="Times New Roman"/>
          <w:sz w:val="24"/>
          <w:szCs w:val="24"/>
        </w:rPr>
        <w:t xml:space="preserve">。储蓄不足、健康行为的拖延与环境行为的匮乏均具有相同的结构，认知卸载不过是这一结构在人机协同情境中的又一实例。</w:t>
      </w:r>
    </w:p>
    <w:p>
      <w:pPr>
        <w:spacing w:after="60" w:before="0" w:line="400" w:lineRule="auto"/>
        <w:ind w:firstLine="480"/>
        <w:jc w:val="both"/>
      </w:pPr>
      <w:r>
        <w:rPr>
          <w:rFonts w:ascii="Times New Roman" w:cs="Times New Roman" w:eastAsia="宋体" w:hAnsi="Times New Roman"/>
          <w:sz w:val="24"/>
          <w:szCs w:val="24"/>
        </w:rPr>
        <w:t xml:space="preserve">由此可以得出一项对本书具有方向性意义的结论：就单次决策而言，卸载在个体理性的层面几乎永远是正确的；而就长期累积而言，同一系列决策必然导向不合意的结果。每一步都对而全程却错，这正是跨期困境的典型形态。这一结论的实践含义在于，指望使用者通过自我提醒或意志克制来解决问题，在结构上是不可能的，因为在他作出每一次选择的那个当下，选择卸载确实是更好的选择。因此，若要改变结果，只能改变决策所面对的条件本身，即改变卸载的成本、改变代价的可见性，或者改变边界的默认设定，以上手段均属工具与制度的范畴，而非个体意志的范畴。本书第6章的干预设计与第7章的溯源制度，其正当性根源即在于此。</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2.2　自动化反讽与去技能化</w:t>
      </w:r>
    </w:p>
    <w:p>
      <w:pPr>
        <w:spacing w:after="60" w:before="0" w:line="400" w:lineRule="auto"/>
        <w:ind w:firstLine="480"/>
        <w:jc w:val="both"/>
      </w:pPr>
      <w:r>
        <w:rPr>
          <w:rFonts w:ascii="Times New Roman" w:cs="Times New Roman" w:eastAsia="宋体" w:hAnsi="Times New Roman"/>
          <w:sz w:val="24"/>
          <w:szCs w:val="24"/>
        </w:rPr>
        <w:t xml:space="preserve">如果说认知卸载研究说明了外部化何以发生，那么自动化研究与劳动过程理论则说明了外部化持续之后会发生什么。本节首先梳理自动化反讽这一经典命题及其后续的实证积累，其次辨析去技能化命题与本书所论衰减的分野，再次检讨自动化研究成果向设计领域移植时的适用限度，最后给出一项反向证据，以避免将结论推向技术决定论。</w:t>
      </w:r>
    </w:p>
    <w:p>
      <w:pPr>
        <w:pStyle w:val="Heading3"/>
        <w:spacing w:after="160" w:before="240" w:line="360" w:lineRule="auto"/>
        <w:jc w:val="left"/>
      </w:pPr>
      <w:r>
        <w:rPr>
          <w:rFonts w:ascii="Times New Roman" w:cs="Times New Roman" w:eastAsia="黑体" w:hAnsi="Times New Roman"/>
          <w:b/>
          <w:bCs/>
          <w:sz w:val="24"/>
          <w:szCs w:val="24"/>
        </w:rPr>
        <w:t xml:space="preserve">2.2.1　自动化的反讽</w:t>
      </w:r>
    </w:p>
    <w:p>
      <w:pPr>
        <w:spacing w:after="60" w:before="0" w:line="400" w:lineRule="auto"/>
        <w:ind w:firstLine="480"/>
        <w:jc w:val="both"/>
      </w:pPr>
      <w:r>
        <w:rPr>
          <w:rFonts w:ascii="Times New Roman" w:cs="Times New Roman" w:eastAsia="宋体" w:hAnsi="Times New Roman"/>
          <w:sz w:val="24"/>
          <w:szCs w:val="24"/>
        </w:rPr>
        <w:t xml:space="preserve">班布里奇（Bainbridge，1983）在其关于自动化反讽（ironies of automation）的经典论述中指出一项悖论：自动化系统的设计者出于对人类可靠性的不信任而以机器取代人的操作，却又将机器无法处理的异常情形留给人来应对；而人恰恰因长期不参与常规操作，其技能日渐生疏，最不可能在异常时刻胜任这一被保留下来的、也是最困难的任务</w:t>
      </w:r>
      <w:r>
        <w:rPr>
          <w:rFonts w:ascii="Times New Roman" w:cs="Times New Roman" w:eastAsia="宋体" w:hAnsi="Times New Roman"/>
          <w:sz w:val="24"/>
          <w:szCs w:val="24"/>
          <w:vertAlign w:val="superscript"/>
        </w:rPr>
        <w:t xml:space="preserve">[7]</w:t>
      </w:r>
      <w:r>
        <w:rPr>
          <w:rFonts w:ascii="Times New Roman" w:cs="Times New Roman" w:eastAsia="宋体" w:hAnsi="Times New Roman"/>
          <w:sz w:val="24"/>
          <w:szCs w:val="24"/>
        </w:rPr>
        <w:t xml:space="preserve">。这意味着，自动化程度愈高，留给人的任务愈是艰难，而人为此所作的准备愈是不足。</w:t>
      </w:r>
    </w:p>
    <w:p>
      <w:pPr>
        <w:spacing w:after="60" w:before="0" w:line="400" w:lineRule="auto"/>
        <w:ind w:firstLine="480"/>
        <w:jc w:val="both"/>
      </w:pPr>
      <w:r>
        <w:rPr>
          <w:rFonts w:ascii="Times New Roman" w:cs="Times New Roman" w:eastAsia="宋体" w:hAnsi="Times New Roman"/>
          <w:sz w:val="24"/>
          <w:szCs w:val="24"/>
        </w:rPr>
        <w:t xml:space="preserve">这一论述包含双重反讽，其结构如图2-3所示。第一，在任务分配上，自动化把简单的部分交给机器，把困难的部分留给人，而分配的理由却是人不如机器可靠。第二，在能力维持上，系统将人设置为最终的可靠性保障，而系统的运行方式本身正在削弱这一保障的可靠性。因此，班布里奇提出的告诫是：任何自动化方案均须同时考虑操作者技能的维持问题，而不能将其视为自动化之外的事情。这一告诫在提出四十余年之后，于生成式人工智能的语境中重新获得了迫切性。</w:t>
      </w:r>
    </w:p>
    <w:p>
      <w:pPr>
        <w:spacing w:after="120" w:before="120" w:line="400" w:lineRule="auto"/>
        <w:jc w:val="center"/>
      </w:pPr>
      <w:r>
        <w:rPr>
          <w:rFonts w:ascii="Times New Roman" w:cs="Times New Roman" w:eastAsia="宋体" w:hAnsi="Times New Roman"/>
          <w:color w:val="808080"/>
          <w:sz w:val="24"/>
          <w:szCs w:val="24"/>
        </w:rPr>
        <w:t xml:space="preserve">［此处插入图2-3］</w:t>
      </w:r>
    </w:p>
    <w:p>
      <w:pPr>
        <w:spacing w:after="0" w:before="0" w:line="300" w:lineRule="auto"/>
        <w:jc w:val="center"/>
      </w:pPr>
      <w:r>
        <w:rPr>
          <w:rFonts w:ascii="Times New Roman" w:cs="Times New Roman" w:eastAsia="宋体" w:hAnsi="Times New Roman"/>
          <w:sz w:val="18"/>
          <w:szCs w:val="18"/>
        </w:rPr>
        <w:t xml:space="preserve">图2-3 自动化反讽的双重结构</w:t>
      </w:r>
    </w:p>
    <w:p>
      <w:pPr>
        <w:spacing w:after="0" w:before="0" w:line="300" w:lineRule="auto"/>
        <w:jc w:val="center"/>
      </w:pPr>
      <w:r>
        <w:rPr>
          <w:rFonts w:ascii="Times New Roman" w:cs="Times New Roman" w:eastAsia="宋体" w:hAnsi="Times New Roman"/>
          <w:sz w:val="18"/>
          <w:szCs w:val="18"/>
        </w:rPr>
        <w:t xml:space="preserve">The Dual Structure of the Ironies of Automation</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2.2.2　脱环问题、自动化自满与自动化偏见</w:t>
      </w:r>
    </w:p>
    <w:p>
      <w:pPr>
        <w:spacing w:after="60" w:before="0" w:line="400" w:lineRule="auto"/>
        <w:ind w:firstLine="480"/>
        <w:jc w:val="both"/>
      </w:pPr>
      <w:r>
        <w:rPr>
          <w:rFonts w:ascii="Times New Roman" w:cs="Times New Roman" w:eastAsia="宋体" w:hAnsi="Times New Roman"/>
          <w:sz w:val="24"/>
          <w:szCs w:val="24"/>
        </w:rPr>
        <w:t xml:space="preserve">人因工程与人机交互研究其后就此积累了大量证据。首先，恩兹利与基里斯（Endsley &amp; Kiris，1995）所提出的脱环表现问题（out-of-the-loop performance problem）指出，当操作者由主动控制转为被动监视时，其对系统状态的情境意识（situation awareness）显著下降，一旦需要接管，反应迟缓且判断质量下降</w:t>
      </w:r>
      <w:r>
        <w:rPr>
          <w:rFonts w:ascii="Times New Roman" w:cs="Times New Roman" w:eastAsia="宋体" w:hAnsi="Times New Roman"/>
          <w:sz w:val="24"/>
          <w:szCs w:val="24"/>
          <w:vertAlign w:val="superscript"/>
        </w:rPr>
        <w:t xml:space="preserve">[8]</w:t>
      </w:r>
      <w:r>
        <w:rPr>
          <w:rFonts w:ascii="Times New Roman" w:cs="Times New Roman" w:eastAsia="宋体" w:hAnsi="Times New Roman"/>
          <w:sz w:val="24"/>
          <w:szCs w:val="24"/>
        </w:rPr>
        <w:t xml:space="preserve">。其次，帕拉苏拉曼与莱利（Parasuraman &amp; Riley，1997）关于自动化使用的经典框架区分了使用、误用、弃用与滥用四种情形，并揭示了自动化自满（automation complacency）现象，即操作者因长期依赖而降低监控频次</w:t>
      </w:r>
      <w:r>
        <w:rPr>
          <w:rFonts w:ascii="Times New Roman" w:cs="Times New Roman" w:eastAsia="宋体" w:hAnsi="Times New Roman"/>
          <w:sz w:val="24"/>
          <w:szCs w:val="24"/>
          <w:vertAlign w:val="superscript"/>
        </w:rPr>
        <w:t xml:space="preserve">[9]</w:t>
      </w:r>
      <w:r>
        <w:rPr>
          <w:rFonts w:ascii="Times New Roman" w:cs="Times New Roman" w:eastAsia="宋体" w:hAnsi="Times New Roman"/>
          <w:sz w:val="24"/>
          <w:szCs w:val="24"/>
        </w:rPr>
        <w:t xml:space="preserve">。另外，与之相关的自动化偏见（automation bias）指人倾向于接受自动化系统所给出的建议，甚至在存在反证的情况下仍予采信</w:t>
      </w:r>
      <w:r>
        <w:rPr>
          <w:rFonts w:ascii="Times New Roman" w:cs="Times New Roman" w:eastAsia="宋体" w:hAnsi="Times New Roman"/>
          <w:sz w:val="24"/>
          <w:szCs w:val="24"/>
          <w:vertAlign w:val="superscript"/>
        </w:rPr>
        <w:t xml:space="preserve">[10]</w:t>
      </w:r>
      <w:r>
        <w:rPr>
          <w:rFonts w:ascii="Times New Roman" w:cs="Times New Roman" w:eastAsia="宋体" w:hAnsi="Times New Roman"/>
          <w:sz w:val="24"/>
          <w:szCs w:val="24"/>
        </w:rPr>
        <w:t xml:space="preserve">。</w:t>
      </w:r>
    </w:p>
    <w:p>
      <w:pPr>
        <w:spacing w:after="60" w:before="0" w:line="400" w:lineRule="auto"/>
        <w:ind w:firstLine="480"/>
        <w:jc w:val="both"/>
      </w:pPr>
      <w:r>
        <w:rPr>
          <w:rFonts w:ascii="Times New Roman" w:cs="Times New Roman" w:eastAsia="宋体" w:hAnsi="Times New Roman"/>
          <w:sz w:val="24"/>
          <w:szCs w:val="24"/>
        </w:rPr>
        <w:t xml:space="preserve">以上现象在多个高风险领域获得了印证。在航空领域，长期依赖自动飞行系统与飞行管理系统的飞行员，其手动操纵技能与异常处置能力的退化已成为持续受到关注的安全议题</w:t>
      </w:r>
      <w:r>
        <w:rPr>
          <w:rFonts w:ascii="Times New Roman" w:cs="Times New Roman" w:eastAsia="宋体" w:hAnsi="Times New Roman"/>
          <w:color w:val="C00000"/>
          <w:sz w:val="24"/>
          <w:szCs w:val="24"/>
        </w:rPr>
        <w:t xml:space="preserve">【待补：飞行员手动操纵技能退化的实证研究或事故调查报告】</w:t>
      </w:r>
      <w:r>
        <w:rPr>
          <w:rFonts w:ascii="Times New Roman" w:cs="Times New Roman" w:eastAsia="宋体" w:hAnsi="Times New Roman"/>
          <w:sz w:val="24"/>
          <w:szCs w:val="24"/>
        </w:rPr>
        <w:t xml:space="preserve">。在医疗领域，计算机辅助诊断系统的引入既提高了检出率，也被观察到会引导阅片者的注意分布，使其对系统未标记的区域关注减少</w:t>
      </w:r>
      <w:r>
        <w:rPr>
          <w:rFonts w:ascii="Times New Roman" w:cs="Times New Roman" w:eastAsia="宋体" w:hAnsi="Times New Roman"/>
          <w:color w:val="C00000"/>
          <w:sz w:val="24"/>
          <w:szCs w:val="24"/>
        </w:rPr>
        <w:t xml:space="preserve">【待补：计算机辅助诊断影响注意分布的实证研究】</w:t>
      </w:r>
      <w:r>
        <w:rPr>
          <w:rFonts w:ascii="Times New Roman" w:cs="Times New Roman" w:eastAsia="宋体" w:hAnsi="Times New Roman"/>
          <w:sz w:val="24"/>
          <w:szCs w:val="24"/>
        </w:rPr>
        <w:t xml:space="preserve">。以上证据均表明，能力因闲置而退化并非某一领域的特殊现象，而是人机系统的一般规律。</w:t>
      </w:r>
    </w:p>
    <w:p>
      <w:pPr>
        <w:pStyle w:val="Heading3"/>
        <w:spacing w:after="160" w:before="240" w:line="360" w:lineRule="auto"/>
        <w:jc w:val="left"/>
      </w:pPr>
      <w:r>
        <w:rPr>
          <w:rFonts w:ascii="Times New Roman" w:cs="Times New Roman" w:eastAsia="黑体" w:hAnsi="Times New Roman"/>
          <w:b/>
          <w:bCs/>
          <w:sz w:val="24"/>
          <w:szCs w:val="24"/>
        </w:rPr>
        <w:t xml:space="preserve">2.2.3　去技能化：劳动过程视角及其与本书的分野</w:t>
      </w:r>
    </w:p>
    <w:p>
      <w:pPr>
        <w:spacing w:after="60" w:before="0" w:line="400" w:lineRule="auto"/>
        <w:ind w:firstLine="480"/>
        <w:jc w:val="both"/>
      </w:pPr>
      <w:r>
        <w:rPr>
          <w:rFonts w:ascii="Times New Roman" w:cs="Times New Roman" w:eastAsia="宋体" w:hAnsi="Times New Roman"/>
          <w:sz w:val="24"/>
          <w:szCs w:val="24"/>
        </w:rPr>
        <w:t xml:space="preserve">与自动化研究平行的另一条脉络来自劳动过程理论。布雷弗曼（Braverman，1974）所提出的去技能化（deskilling）命题指出，在资本主义生产的组织逻辑之下，技能被系统地从劳动者身上剥离，转而固化于机器、流程与管理规程之中，构想与执行的分离由此完成，劳动者被限定于执行一端</w:t>
      </w:r>
      <w:r>
        <w:rPr>
          <w:rFonts w:ascii="Times New Roman" w:cs="Times New Roman" w:eastAsia="宋体" w:hAnsi="Times New Roman"/>
          <w:sz w:val="24"/>
          <w:szCs w:val="24"/>
          <w:vertAlign w:val="superscript"/>
        </w:rPr>
        <w:t xml:space="preserve">[11]</w:t>
      </w:r>
      <w:r>
        <w:rPr>
          <w:rFonts w:ascii="Times New Roman" w:cs="Times New Roman" w:eastAsia="宋体" w:hAnsi="Times New Roman"/>
          <w:sz w:val="24"/>
          <w:szCs w:val="24"/>
        </w:rPr>
        <w:t xml:space="preserve">。这一命题为理解技术与劳动能力的关系提供了结构性的视野。</w:t>
      </w:r>
    </w:p>
    <w:p>
      <w:pPr>
        <w:spacing w:after="60" w:before="0" w:line="400" w:lineRule="auto"/>
        <w:ind w:firstLine="480"/>
        <w:jc w:val="both"/>
      </w:pPr>
      <w:r>
        <w:rPr>
          <w:rFonts w:ascii="Times New Roman" w:cs="Times New Roman" w:eastAsia="宋体" w:hAnsi="Times New Roman"/>
          <w:sz w:val="24"/>
          <w:szCs w:val="24"/>
        </w:rPr>
        <w:t xml:space="preserve">本书所论认知韧性衰减与去技能化有相通之处，但二者的分野须予明确，具体可以从三个方面辨析，如表2-3所示。第一，就驱动力而言，去技能化由生产组织的外部力量所推动，其目的在于降低对劳动者技能的依赖以增强控制；认知韧性衰减则由使用者自身的持续选择所推动，无人强制，且每一次选择在当下都是合理的。第二，就发生层次而言，去技能化发生于职业结构与岗位设置的层面，是可观察的制度过程；认知韧性衰减则发生于个体认知的层面，是难以观察的内在过程。第三，就可见性而言，去技能化的后果通常表现为岗位的消失、技能等级的降低与工资结构的变化，均有明确的外部指标；认知韧性衰减则往往在很长时间内不表现为任何外部指标，成果照常交付，问题隐而不显。</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表2-3 去技能化与认知韧性衰减的三方面辨析</w:t>
      </w:r>
    </w:p>
    <w:p>
      <w:pPr>
        <w:spacing w:after="0" w:before="0" w:line="300" w:lineRule="auto"/>
        <w:jc w:val="center"/>
      </w:pPr>
      <w:r>
        <w:rPr>
          <w:rFonts w:ascii="Times New Roman" w:cs="Times New Roman" w:eastAsia="宋体" w:hAnsi="Times New Roman"/>
          <w:sz w:val="18"/>
          <w:szCs w:val="18"/>
        </w:rPr>
        <w:t xml:space="preserve">A Three-Dimensional Distinction between Deskilling and the Decline of Cognitive Resilience</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辨析维度</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去技能化</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认知韧性衰减</w:t>
            </w:r>
          </w:p>
        </w:tc>
      </w:tr>
      <w:tr>
        <w:trPr>
          <w:tblHeader w:val="false"/>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驱动力</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生产组织的外部力量，目的在于增强控制</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使用者自身的持续选择，无人强制</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单次行为的合理性</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对劳动者而言并非自愿</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每一次选择在当下都是合理的</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发生层次</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职业结构与岗位设置，属制度过程</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个体认知，属内在过程</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可观察性</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可观察</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难以观察</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外部指标</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岗位消失、技能等级降低、工资结构变化</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长期内无任何外部指标</w:t>
            </w:r>
          </w:p>
        </w:tc>
      </w:tr>
      <w:tr>
        <w:trPr>
          <w:tblHeader w:val="false"/>
        </w:trPr>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问题的显现方式</w:t>
            </w:r>
          </w:p>
        </w:tc>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显性且可统计</w:t>
            </w:r>
          </w:p>
        </w:tc>
        <w:tc>
          <w:tcPr>
            <w:tcW w:type="dxa" w:w="3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成果照常交付，问题隐而不显</w:t>
            </w:r>
          </w:p>
        </w:tc>
      </w:tr>
    </w:tbl>
    <w:p>
      <w:pPr>
        <w:spacing w:line="200" w:lineRule="auto"/>
      </w:pPr>
      <w:r>
        <w:rPr>
          <w:sz w:val="18"/>
          <w:szCs w:val="18"/>
        </w:rPr>
        <w:t xml:space="preserve"/>
      </w:r>
    </w:p>
    <w:p>
      <w:pPr>
        <w:spacing w:after="60" w:before="0" w:line="400" w:lineRule="auto"/>
        <w:ind w:firstLine="480"/>
        <w:jc w:val="both"/>
      </w:pPr>
      <w:r>
        <w:rPr>
          <w:rFonts w:ascii="Times New Roman" w:cs="Times New Roman" w:eastAsia="宋体" w:hAnsi="Times New Roman"/>
          <w:sz w:val="24"/>
          <w:szCs w:val="24"/>
        </w:rPr>
        <w:t xml:space="preserve">但二者也存在交汇之处，且这种交汇正在形成。当行业普遍采用生成式工具，并据此重新设定岗位职责、工期标准与报酬结构时，个体层面的能力衰减便会被制度固化下来。例如，一旦工期标准以生成式工作流为基准设定，深入推敲所需的时间便不再被制度所容许；一旦岗位职责以提示与筛选为主要内容，判断能力的培养便失去了组织层面的支持。因此，本书虽然以个体认知为主要分析层面，但并不主张将问题归因于个体，第8章关于设计教育与产业实践的讨论正是要指出制度环境在其中的作用。</w:t>
      </w:r>
    </w:p>
    <w:p>
      <w:pPr>
        <w:pStyle w:val="Heading3"/>
        <w:spacing w:after="160" w:before="240" w:line="360" w:lineRule="auto"/>
        <w:jc w:val="left"/>
      </w:pPr>
      <w:r>
        <w:rPr>
          <w:rFonts w:ascii="Times New Roman" w:cs="Times New Roman" w:eastAsia="黑体" w:hAnsi="Times New Roman"/>
          <w:b/>
          <w:bCs/>
          <w:sz w:val="24"/>
          <w:szCs w:val="24"/>
        </w:rPr>
        <w:t xml:space="preserve">2.2.4　适用性检讨：设计不同于操作</w:t>
      </w:r>
    </w:p>
    <w:p>
      <w:pPr>
        <w:spacing w:after="60" w:before="0" w:line="400" w:lineRule="auto"/>
        <w:ind w:firstLine="480"/>
        <w:jc w:val="both"/>
      </w:pPr>
      <w:r>
        <w:rPr>
          <w:rFonts w:ascii="Times New Roman" w:cs="Times New Roman" w:eastAsia="宋体" w:hAnsi="Times New Roman"/>
          <w:sz w:val="24"/>
          <w:szCs w:val="24"/>
        </w:rPr>
        <w:t xml:space="preserve">自动化研究的成果不可直接移植于设计领域，其间至少有三项差异须予考虑，如表2-4所示。</w:t>
      </w:r>
    </w:p>
    <w:p>
      <w:pPr>
        <w:spacing w:after="60" w:before="0" w:line="400" w:lineRule="auto"/>
        <w:ind w:firstLine="480"/>
        <w:jc w:val="both"/>
      </w:pPr>
      <w:r>
        <w:rPr>
          <w:rFonts w:ascii="Times New Roman" w:cs="Times New Roman" w:eastAsia="宋体" w:hAnsi="Times New Roman"/>
          <w:sz w:val="24"/>
          <w:szCs w:val="24"/>
        </w:rPr>
        <w:t xml:space="preserve">第一，任务性质不同。自动化研究以操作为对象，其任务通常存在明确的正确答案与可验证的目标状态；设计则以判断为对象，其任务不存在唯一正确的解，方案的优劣有赖于在多重价值之间的权衡。因此，自动化领域可以通过绩效指标直接测得能力的退化，设计领域则缺乏这种直接的测量手段。</w:t>
      </w:r>
    </w:p>
    <w:p>
      <w:pPr>
        <w:spacing w:after="60" w:before="0" w:line="400" w:lineRule="auto"/>
        <w:ind w:firstLine="480"/>
        <w:jc w:val="both"/>
      </w:pPr>
      <w:r>
        <w:rPr>
          <w:rFonts w:ascii="Times New Roman" w:cs="Times New Roman" w:eastAsia="宋体" w:hAnsi="Times New Roman"/>
          <w:sz w:val="24"/>
          <w:szCs w:val="24"/>
        </w:rPr>
        <w:t xml:space="preserve">第二，反馈回路不同。飞行员的操纵失误在数秒之内即产生可感知的后果，医师的诊断失误也有病理结果可资对照；而设计判断的失误可能在数月乃至数年之后才会显现，且其显现往往与市场、传播、使用习惯等诸多因素相纠缠，难以归因于某一次具体的判断。这意味着，反馈回路愈长、愈模糊，个体便愈难从自身经验中察觉能力的变化。</w:t>
      </w:r>
    </w:p>
    <w:p>
      <w:pPr>
        <w:spacing w:after="60" w:before="0" w:line="400" w:lineRule="auto"/>
        <w:ind w:firstLine="480"/>
        <w:jc w:val="both"/>
      </w:pPr>
      <w:r>
        <w:rPr>
          <w:rFonts w:ascii="Times New Roman" w:cs="Times New Roman" w:eastAsia="宋体" w:hAnsi="Times New Roman"/>
          <w:sz w:val="24"/>
          <w:szCs w:val="24"/>
        </w:rPr>
        <w:t xml:space="preserve">第三，正因为以上两项差异，设计领域的能力退化比自动化领域更难被察觉，其危险性因而不降反升。在航空领域，技能退化因其后果的严重与即时而受到高度重视，业界为此建立了定期的手动操纵训练、模拟机复训与资质审查等一整套制度；而在设计领域，既无对应的能力衰减指标，也无相应的维持机制，退化因而可以长期持续而不被任何人发现。这一对照构成本书的一项现实关切：自动化领域早已认识到能力维持须被专门设计，设计领域对此尚无自觉。</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表2-4 自动化领域与设计领域的三项差异</w:t>
      </w:r>
    </w:p>
    <w:p>
      <w:pPr>
        <w:spacing w:after="0" w:before="0" w:line="300" w:lineRule="auto"/>
        <w:jc w:val="center"/>
      </w:pPr>
      <w:r>
        <w:rPr>
          <w:rFonts w:ascii="Times New Roman" w:cs="Times New Roman" w:eastAsia="宋体" w:hAnsi="Times New Roman"/>
          <w:sz w:val="18"/>
          <w:szCs w:val="18"/>
        </w:rPr>
        <w:t xml:space="preserve">Three Differences between the Field of Automation and the Field of Design</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比较维度</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自动化领域（以操作为对象）</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设计领域（以判断为对象）</w:t>
            </w:r>
          </w:p>
        </w:tc>
      </w:tr>
      <w:tr>
        <w:trPr>
          <w:tblHeader w:val="false"/>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任务性质</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存在明确的正确答案与可验证的目标状态</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不存在唯一解，须在多重价值之间权衡</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能力退化的测量</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可通过绩效指标直接测得</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缺乏直接的测量手段</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反馈时距</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数秒至数日，后果可感知</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数月至数年，且与市场、传播等因素相纠缠</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失误的可归因性</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可归因于某一次具体操作</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难以归因于某一次具体判断</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能力维持机制</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已建立复训、模拟机训练与资质审查制度</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既无衰减指标，也无维持机制</w:t>
            </w:r>
          </w:p>
        </w:tc>
      </w:tr>
      <w:tr>
        <w:trPr>
          <w:tblHeader w:val="false"/>
        </w:trPr>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退化的可察觉性</w:t>
            </w:r>
          </w:p>
        </w:tc>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高</w:t>
            </w:r>
          </w:p>
        </w:tc>
        <w:tc>
          <w:tcPr>
            <w:tcW w:type="dxa" w:w="3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低</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2.2.5　一项反向证据：退化并非自动化的必然结果</w:t>
      </w:r>
    </w:p>
    <w:p>
      <w:pPr>
        <w:spacing w:after="60" w:before="0" w:line="400" w:lineRule="auto"/>
        <w:ind w:firstLine="480"/>
        <w:jc w:val="both"/>
      </w:pPr>
      <w:r>
        <w:rPr>
          <w:rFonts w:ascii="Times New Roman" w:cs="Times New Roman" w:eastAsia="宋体" w:hAnsi="Times New Roman"/>
          <w:sz w:val="24"/>
          <w:szCs w:val="24"/>
        </w:rPr>
        <w:t xml:space="preserve">以上讨论若止于此，容易被读作一种技术决定论，即凡自动化必致退化。这种读法既不符合事实，也不利于本书后续的建设性工作，因此须专门辨明。</w:t>
      </w:r>
    </w:p>
    <w:p>
      <w:pPr>
        <w:spacing w:after="60" w:before="0" w:line="400" w:lineRule="auto"/>
        <w:ind w:firstLine="480"/>
        <w:jc w:val="both"/>
      </w:pPr>
      <w:r>
        <w:rPr>
          <w:rFonts w:ascii="Times New Roman" w:cs="Times New Roman" w:eastAsia="宋体" w:hAnsi="Times New Roman"/>
          <w:sz w:val="24"/>
          <w:szCs w:val="24"/>
        </w:rPr>
        <w:t xml:space="preserve">确实存在若干情形，人的能力在人机配合之中不降反升。首先，教育研究中的脚手架（scaffolding）概念即描述了此类机制，即适当的外部支持可以使学习者完成其独力无法完成的任务，并在此过程中逐步内化相应的能力</w:t>
      </w:r>
      <w:r>
        <w:rPr>
          <w:rFonts w:ascii="Times New Roman" w:cs="Times New Roman" w:eastAsia="宋体" w:hAnsi="Times New Roman"/>
          <w:sz w:val="24"/>
          <w:szCs w:val="24"/>
          <w:vertAlign w:val="superscript"/>
        </w:rPr>
        <w:t xml:space="preserve">[12]</w:t>
      </w:r>
      <w:r>
        <w:rPr>
          <w:rFonts w:ascii="Times New Roman" w:cs="Times New Roman" w:eastAsia="宋体" w:hAnsi="Times New Roman"/>
          <w:sz w:val="24"/>
          <w:szCs w:val="24"/>
        </w:rPr>
        <w:t xml:space="preserve">。但脚手架之所以是脚手架，关键在于其撤除机制，即支持须随学习者能力的增长而逐步减少，直至最终撤去；若支持恒定不变，则学习者所形成的便不是能力，而是对支持的依赖。其次，另有研究注意到，在人机组合完成复杂任务的场景中，组合的整体表现可能优于机器单独作业</w:t>
      </w:r>
      <w:r>
        <w:rPr>
          <w:rFonts w:ascii="Times New Roman" w:cs="Times New Roman" w:eastAsia="宋体" w:hAnsi="Times New Roman"/>
          <w:color w:val="C00000"/>
          <w:sz w:val="24"/>
          <w:szCs w:val="24"/>
        </w:rPr>
        <w:t xml:space="preserve">【待补：人机组合表现优于机器单独作业的实证研究】</w:t>
      </w:r>
      <w:r>
        <w:rPr>
          <w:rFonts w:ascii="Times New Roman" w:cs="Times New Roman" w:eastAsia="宋体" w:hAnsi="Times New Roman"/>
          <w:sz w:val="24"/>
          <w:szCs w:val="24"/>
        </w:rPr>
        <w:t xml:space="preserve">。但需要审慎辨别的是，此类场景中人所提升的往往是与机器协作的能力，而未必是独立完成该任务的能力，二者不宜混为一谈。</w:t>
      </w:r>
    </w:p>
    <w:p>
      <w:pPr>
        <w:spacing w:after="60" w:before="0" w:line="400" w:lineRule="auto"/>
        <w:ind w:firstLine="480"/>
        <w:jc w:val="both"/>
      </w:pPr>
      <w:r>
        <w:rPr>
          <w:rFonts w:ascii="Times New Roman" w:cs="Times New Roman" w:eastAsia="宋体" w:hAnsi="Times New Roman"/>
          <w:sz w:val="24"/>
          <w:szCs w:val="24"/>
        </w:rPr>
        <w:t xml:space="preserve">综合正反两方面的证据，可以得出一个更为准确的判断：能力的退化并非自动化的必然结果，而是特定任务分配方式的结果。若机器所承担的是重复性的、判断密度较低的部分，则人得以专注于判断密集的环节，其能力反而可能因高强度的运用而增强；若机器所承担的恰为判断密集的部分，则退化随之发生。由此可见，分配方式是决定性的变量。</w:t>
      </w:r>
    </w:p>
    <w:p>
      <w:pPr>
        <w:spacing w:after="60" w:before="0" w:line="400" w:lineRule="auto"/>
        <w:ind w:firstLine="480"/>
        <w:jc w:val="both"/>
      </w:pPr>
      <w:r>
        <w:rPr>
          <w:rFonts w:ascii="Times New Roman" w:cs="Times New Roman" w:eastAsia="宋体" w:hAnsi="Times New Roman"/>
          <w:sz w:val="24"/>
          <w:szCs w:val="24"/>
        </w:rPr>
        <w:t xml:space="preserve">这一判断对本书具有双重意义。首先，就立场而言，它使本书得以与笼统的技术悲观论划清界限，即问题不在于是否使用工具，而在于如何分配任务。其次，就方法而言，它确立了本书全部干预工作的可能性，即既然分配方式是可以选择的，那么重新选择分配方式便构成有意义的介入，而如何分配正是第4章边界判据所要回答的问题。此外，脚手架的撤除机制在现有生成式工具中的完全缺失也值得专门指出：此类工具从不因使用者能力的增长而减少其支持，也不提供任何逐步撤除的选项，其支持强度自始至终恒定于最大值。这一缺失构成第6章渐进式披露设计的直接依据。</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2.3　缄默知识与具身实践</w:t>
      </w:r>
    </w:p>
    <w:p>
      <w:pPr>
        <w:spacing w:after="60" w:before="0" w:line="400" w:lineRule="auto"/>
        <w:ind w:firstLine="480"/>
        <w:jc w:val="both"/>
      </w:pPr>
      <w:r>
        <w:rPr>
          <w:rFonts w:ascii="Times New Roman" w:cs="Times New Roman" w:eastAsia="宋体" w:hAnsi="Times New Roman"/>
          <w:sz w:val="24"/>
          <w:szCs w:val="24"/>
        </w:rPr>
        <w:t xml:space="preserve">前两节说明了卸载何以发生以及持续卸载会产生何种后果，但尚未回答一个更为具体的问题：在设计者的全部能力之中，究竟哪一部分最易在卸载中流失？本节引入缄默知识理论，依次讨论其基本性质、设计知识的缄默性、缄默知识何以在卸载中处于最脆弱的位置，并由此推出卸载代价的阶段依赖性，最后回应一项可能的反驳。</w:t>
      </w:r>
    </w:p>
    <w:p>
      <w:pPr>
        <w:pStyle w:val="Heading3"/>
        <w:spacing w:after="160" w:before="240" w:line="360" w:lineRule="auto"/>
        <w:jc w:val="left"/>
      </w:pPr>
      <w:r>
        <w:rPr>
          <w:rFonts w:ascii="Times New Roman" w:cs="Times New Roman" w:eastAsia="黑体" w:hAnsi="Times New Roman"/>
          <w:b/>
          <w:bCs/>
          <w:sz w:val="24"/>
          <w:szCs w:val="24"/>
        </w:rPr>
        <w:t xml:space="preserve">2.3.1　波兰尼的缄默维度</w:t>
      </w:r>
    </w:p>
    <w:p>
      <w:pPr>
        <w:spacing w:after="60" w:before="0" w:line="400" w:lineRule="auto"/>
        <w:ind w:firstLine="480"/>
        <w:jc w:val="both"/>
      </w:pPr>
      <w:r>
        <w:rPr>
          <w:rFonts w:ascii="Times New Roman" w:cs="Times New Roman" w:eastAsia="宋体" w:hAnsi="Times New Roman"/>
          <w:sz w:val="24"/>
          <w:szCs w:val="24"/>
        </w:rPr>
        <w:t xml:space="preserve">波兰尼（Polanyi，1966）以“我们所知多于我们所能言说”一语，揭示了知识的缄默维度（tacit dimension）</w:t>
      </w:r>
      <w:r>
        <w:rPr>
          <w:rFonts w:ascii="Times New Roman" w:cs="Times New Roman" w:eastAsia="宋体" w:hAnsi="Times New Roman"/>
          <w:sz w:val="24"/>
          <w:szCs w:val="24"/>
          <w:vertAlign w:val="superscript"/>
        </w:rPr>
        <w:t xml:space="preserve">[13]</w:t>
      </w:r>
      <w:r>
        <w:rPr>
          <w:rFonts w:ascii="Times New Roman" w:cs="Times New Roman" w:eastAsia="宋体" w:hAnsi="Times New Roman"/>
          <w:sz w:val="24"/>
          <w:szCs w:val="24"/>
        </w:rPr>
        <w:t xml:space="preserve">。在他看来，一切知识均包含无法被完全形式化的成分，辨认一张面孔、掌握一门手艺、运用一种工具，其所依凭的均非可陈述的规则，而是一种整体性的领会。他以附带觉知（subsidiary awareness）与集中觉知（focal awareness）的区分说明这一结构：当工匠使用锤子时，他集中觉知于钉子，而对握持锤柄的手感仅有附带觉知，正是这种附带的、不被言说的觉知使得动作得以精确。波兰尼将这种把工具或技艺纳入身体感知的过程称为内寓（indwelling）。</w:t>
      </w:r>
    </w:p>
    <w:p>
      <w:pPr>
        <w:spacing w:after="60" w:before="0" w:line="400" w:lineRule="auto"/>
        <w:ind w:firstLine="480"/>
        <w:jc w:val="both"/>
      </w:pPr>
      <w:r>
        <w:rPr>
          <w:rFonts w:ascii="Times New Roman" w:cs="Times New Roman" w:eastAsia="宋体" w:hAnsi="Times New Roman"/>
          <w:sz w:val="24"/>
          <w:szCs w:val="24"/>
        </w:rPr>
        <w:t xml:space="preserve">缄默知识的关键性质在于其不可完全外部化。它不是尚未被写下来的知识，而是原则上无法被完整写下来的知识，任何将其形式化的努力，所得到的均是其残余而非其全部。这一性质对本书至关重要，因为它意味着缄默知识一旦不再被实践，便无处存放，也无从复得。</w:t>
      </w:r>
    </w:p>
    <w:p>
      <w:pPr>
        <w:pStyle w:val="Heading3"/>
        <w:spacing w:after="160" w:before="240" w:line="360" w:lineRule="auto"/>
        <w:jc w:val="left"/>
      </w:pPr>
      <w:r>
        <w:rPr>
          <w:rFonts w:ascii="Times New Roman" w:cs="Times New Roman" w:eastAsia="黑体" w:hAnsi="Times New Roman"/>
          <w:b/>
          <w:bCs/>
          <w:sz w:val="24"/>
          <w:szCs w:val="24"/>
        </w:rPr>
        <w:t xml:space="preserve">2.3.2　设计知识的缄默性</w:t>
      </w:r>
    </w:p>
    <w:p>
      <w:pPr>
        <w:spacing w:after="60" w:before="0" w:line="400" w:lineRule="auto"/>
        <w:ind w:firstLine="480"/>
        <w:jc w:val="both"/>
      </w:pPr>
      <w:r>
        <w:rPr>
          <w:rFonts w:ascii="Times New Roman" w:cs="Times New Roman" w:eastAsia="宋体" w:hAnsi="Times New Roman"/>
          <w:sz w:val="24"/>
          <w:szCs w:val="24"/>
        </w:rPr>
        <w:t xml:space="preserve">设计知识具有高度的缄默性，这已为设计研究所反复确认。首先，克罗斯（Cross，2006）关于设计式认知（designerly ways of knowing）的论述指出，设计知识主要存在于设计的过程、产物以及设计者本身之中，其运作方式与科学式的命题知识有别，更倚重于溯因的、生成性的思维</w:t>
      </w:r>
      <w:r>
        <w:rPr>
          <w:rFonts w:ascii="Times New Roman" w:cs="Times New Roman" w:eastAsia="宋体" w:hAnsi="Times New Roman"/>
          <w:sz w:val="24"/>
          <w:szCs w:val="24"/>
          <w:vertAlign w:val="superscript"/>
        </w:rPr>
        <w:t xml:space="preserve">[14]</w:t>
      </w:r>
      <w:r>
        <w:rPr>
          <w:rFonts w:ascii="Times New Roman" w:cs="Times New Roman" w:eastAsia="宋体" w:hAnsi="Times New Roman"/>
          <w:sz w:val="24"/>
          <w:szCs w:val="24"/>
        </w:rPr>
        <w:t xml:space="preserve">。其次，舍恩（Schön，1983）关于反思性实践（reflective practice）的研究将设计描述为与情境的反思性对话，即设计者的每一次落笔均是对情境的一次试探，情境随即以其自身的方式作出回应，设计者据此调整下一步动作</w:t>
      </w:r>
      <w:r>
        <w:rPr>
          <w:rFonts w:ascii="Times New Roman" w:cs="Times New Roman" w:eastAsia="宋体" w:hAnsi="Times New Roman"/>
          <w:sz w:val="24"/>
          <w:szCs w:val="24"/>
          <w:vertAlign w:val="superscript"/>
        </w:rPr>
        <w:t xml:space="preserve">[15]</w:t>
      </w:r>
      <w:r>
        <w:rPr>
          <w:rFonts w:ascii="Times New Roman" w:cs="Times New Roman" w:eastAsia="宋体" w:hAnsi="Times New Roman"/>
          <w:sz w:val="24"/>
          <w:szCs w:val="24"/>
        </w:rPr>
        <w:t xml:space="preserve">。这种在行动中的反思（reflection-in-action）无法被预先规划，只能在行动中发生。</w:t>
      </w:r>
    </w:p>
    <w:p>
      <w:pPr>
        <w:spacing w:after="60" w:before="0" w:line="400" w:lineRule="auto"/>
        <w:ind w:firstLine="480"/>
        <w:jc w:val="both"/>
      </w:pPr>
      <w:r>
        <w:rPr>
          <w:rFonts w:ascii="Times New Roman" w:cs="Times New Roman" w:eastAsia="宋体" w:hAnsi="Times New Roman"/>
          <w:sz w:val="24"/>
          <w:szCs w:val="24"/>
        </w:rPr>
        <w:t xml:space="preserve">另外，德雷福斯兄弟（Dreyfus &amp; Dreyfus，1986）关于技能获得的阶段论进一步说明了缄默性与专业水平的关联</w:t>
      </w:r>
      <w:r>
        <w:rPr>
          <w:rFonts w:ascii="Times New Roman" w:cs="Times New Roman" w:eastAsia="宋体" w:hAnsi="Times New Roman"/>
          <w:sz w:val="24"/>
          <w:szCs w:val="24"/>
          <w:vertAlign w:val="superscript"/>
        </w:rPr>
        <w:t xml:space="preserve">[16]</w:t>
      </w:r>
      <w:r>
        <w:rPr>
          <w:rFonts w:ascii="Times New Roman" w:cs="Times New Roman" w:eastAsia="宋体" w:hAnsi="Times New Roman"/>
          <w:sz w:val="24"/>
          <w:szCs w:val="24"/>
        </w:rPr>
        <w:t xml:space="preserve">。在其所描述的由新手、高级新手、胜任者、精通者至专家的五个阶段中，新手依赖情境无关的规则，而专家的表现则以整体的情境识别与直觉性反应为特征，即专家并非运用更多的规则，而是不再需要规则。这一阶段论对本书的意义在于：专业水平愈高，其判断的缄默成分愈重。这意味着，判断能力之中最有价值的部分，恰恰是最无法被言说、因而也最无法被形式化交付的部分。</w:t>
      </w:r>
    </w:p>
    <w:p>
      <w:pPr>
        <w:pStyle w:val="Heading3"/>
        <w:spacing w:after="160" w:before="240" w:line="360" w:lineRule="auto"/>
        <w:jc w:val="left"/>
      </w:pPr>
      <w:r>
        <w:rPr>
          <w:rFonts w:ascii="Times New Roman" w:cs="Times New Roman" w:eastAsia="黑体" w:hAnsi="Times New Roman"/>
          <w:b/>
          <w:bCs/>
          <w:sz w:val="24"/>
          <w:szCs w:val="24"/>
        </w:rPr>
        <w:t xml:space="preserve">2.3.3　缄默知识何以在卸载中最易流失</w:t>
      </w:r>
    </w:p>
    <w:p>
      <w:pPr>
        <w:spacing w:after="60" w:before="0" w:line="400" w:lineRule="auto"/>
        <w:ind w:firstLine="480"/>
        <w:jc w:val="both"/>
      </w:pPr>
      <w:r>
        <w:rPr>
          <w:rFonts w:ascii="Times New Roman" w:cs="Times New Roman" w:eastAsia="宋体" w:hAnsi="Times New Roman"/>
          <w:sz w:val="24"/>
          <w:szCs w:val="24"/>
        </w:rPr>
        <w:t xml:space="preserve">综合以上讨论，可以说明缄默知识何以在认知卸载中处于最脆弱的位置，其原因有三，具体路径如图2-4所示。</w:t>
      </w:r>
    </w:p>
    <w:p>
      <w:pPr>
        <w:spacing w:after="60" w:before="0" w:line="400" w:lineRule="auto"/>
        <w:ind w:firstLine="480"/>
        <w:jc w:val="both"/>
      </w:pPr>
      <w:r>
        <w:rPr>
          <w:rFonts w:ascii="Times New Roman" w:cs="Times New Roman" w:eastAsia="宋体" w:hAnsi="Times New Roman"/>
          <w:sz w:val="24"/>
          <w:szCs w:val="24"/>
        </w:rPr>
        <w:t xml:space="preserve">第一，不可寄存。显性知识可以被写入文档、存入数据库、编入工具，卸载之后仍然存在于某处；缄默知识则无法被如此处置，它只能存在于持续实践着的个体之中。因此，将一项依赖缄默知识的任务交付机器，并不意味着该知识被转移至机器，而意味着该知识在无人实践之后逐渐消散。</w:t>
      </w:r>
    </w:p>
    <w:p>
      <w:pPr>
        <w:spacing w:after="60" w:before="0" w:line="400" w:lineRule="auto"/>
        <w:ind w:firstLine="480"/>
        <w:jc w:val="both"/>
      </w:pPr>
      <w:r>
        <w:rPr>
          <w:rFonts w:ascii="Times New Roman" w:cs="Times New Roman" w:eastAsia="宋体" w:hAnsi="Times New Roman"/>
          <w:sz w:val="24"/>
          <w:szCs w:val="24"/>
        </w:rPr>
        <w:t xml:space="preserve">第二，依赖实践维持。缄默知识的存续依赖于反复的运用，即所谓不用则废。而卸载的实质恰恰是取消运用：设计者不再亲自推敲比例，则关于比例的手感便不再被调用；不再亲自筛选材质，则关于材质的直觉便不再被激活。这意味着，取消运用与取消能力，在缄默知识这里几乎是同一件事的两种说法。</w:t>
      </w:r>
    </w:p>
    <w:p>
      <w:pPr>
        <w:spacing w:after="60" w:before="0" w:line="400" w:lineRule="auto"/>
        <w:ind w:firstLine="480"/>
        <w:jc w:val="both"/>
      </w:pPr>
      <w:r>
        <w:rPr>
          <w:rFonts w:ascii="Times New Roman" w:cs="Times New Roman" w:eastAsia="宋体" w:hAnsi="Times New Roman"/>
          <w:sz w:val="24"/>
          <w:szCs w:val="24"/>
        </w:rPr>
        <w:t xml:space="preserve">第三，形成过程与效率目标相冲突。缄默知识的形成需要大量看似低效的试错，包括反复的失败、无用的尝试与被推翻的方案，以上环节在结果层面均无产出，而在能力层面均是必需的沉淀。生成式工具所承诺的恰恰是消除这些低效环节。因此，工具愈是高效地帮助使用者绕过试错，使用者便愈是无从积累缄默知识。这一点与前述合意困难的讨论正相呼应，二者从不同的理论传统指向同一结论。</w:t>
      </w:r>
    </w:p>
    <w:p>
      <w:pPr>
        <w:spacing w:after="120" w:before="120" w:line="400" w:lineRule="auto"/>
        <w:jc w:val="center"/>
      </w:pPr>
      <w:r>
        <w:rPr>
          <w:rFonts w:ascii="Times New Roman" w:cs="Times New Roman" w:eastAsia="宋体" w:hAnsi="Times New Roman"/>
          <w:color w:val="808080"/>
          <w:sz w:val="24"/>
          <w:szCs w:val="24"/>
        </w:rPr>
        <w:t xml:space="preserve">［此处插入图2-4］</w:t>
      </w:r>
    </w:p>
    <w:p>
      <w:pPr>
        <w:spacing w:after="0" w:before="0" w:line="300" w:lineRule="auto"/>
        <w:jc w:val="center"/>
      </w:pPr>
      <w:r>
        <w:rPr>
          <w:rFonts w:ascii="Times New Roman" w:cs="Times New Roman" w:eastAsia="宋体" w:hAnsi="Times New Roman"/>
          <w:sz w:val="18"/>
          <w:szCs w:val="18"/>
        </w:rPr>
        <w:t xml:space="preserve">图2-4 缄默知识在认知卸载中流失的三条路径</w:t>
      </w:r>
    </w:p>
    <w:p>
      <w:pPr>
        <w:spacing w:after="0" w:before="0" w:line="300" w:lineRule="auto"/>
        <w:jc w:val="center"/>
      </w:pPr>
      <w:r>
        <w:rPr>
          <w:rFonts w:ascii="Times New Roman" w:cs="Times New Roman" w:eastAsia="宋体" w:hAnsi="Times New Roman"/>
          <w:sz w:val="18"/>
          <w:szCs w:val="18"/>
        </w:rPr>
        <w:t xml:space="preserve">Three Pathways through Which Tacit Knowledge Is Lost in Cognitive Offloading</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spacing w:after="60" w:before="0" w:line="400" w:lineRule="auto"/>
        <w:ind w:firstLine="480"/>
        <w:jc w:val="both"/>
      </w:pPr>
      <w:r>
        <w:rPr>
          <w:rFonts w:ascii="Times New Roman" w:cs="Times New Roman" w:eastAsia="宋体" w:hAnsi="Times New Roman"/>
          <w:sz w:val="24"/>
          <w:szCs w:val="24"/>
        </w:rPr>
        <w:t xml:space="preserve">以上三点共同造成了一种显著的不对称：缄默知识的形成需要长期浸润，其退化却只需持续闲置。更为棘手的是，由于它本身即处于不可言说的状态，个体无从对其进行自我盘点，即一个人无法清点自己已经失去了何种说不出来的能力。这种不可自察性，是认知韧性衰减区别于其他能力衰退的关键所在。</w:t>
      </w:r>
    </w:p>
    <w:p>
      <w:pPr>
        <w:pStyle w:val="Heading3"/>
        <w:spacing w:after="160" w:before="240" w:line="360" w:lineRule="auto"/>
        <w:jc w:val="left"/>
      </w:pPr>
      <w:r>
        <w:rPr>
          <w:rFonts w:ascii="Times New Roman" w:cs="Times New Roman" w:eastAsia="黑体" w:hAnsi="Times New Roman"/>
          <w:b/>
          <w:bCs/>
          <w:sz w:val="24"/>
          <w:szCs w:val="24"/>
        </w:rPr>
        <w:t xml:space="preserve">2.3.4　一项推论：卸载代价的阶段依赖性</w:t>
      </w:r>
    </w:p>
    <w:p>
      <w:pPr>
        <w:spacing w:after="60" w:before="0" w:line="400" w:lineRule="auto"/>
        <w:ind w:firstLine="480"/>
        <w:jc w:val="both"/>
      </w:pPr>
      <w:r>
        <w:rPr>
          <w:rFonts w:ascii="Times New Roman" w:cs="Times New Roman" w:eastAsia="宋体" w:hAnsi="Times New Roman"/>
          <w:sz w:val="24"/>
          <w:szCs w:val="24"/>
        </w:rPr>
        <w:t xml:space="preserve">由德雷福斯阶段论可以推出一项对本书较为重要的判断：认知卸载的代价并非对所有设计者一律均等，而与其所处的专业阶段密切相关，具体对应关系如表2-5所示。</w:t>
      </w:r>
    </w:p>
    <w:p>
      <w:pPr>
        <w:spacing w:after="60" w:before="0" w:line="400" w:lineRule="auto"/>
        <w:ind w:firstLine="480"/>
        <w:jc w:val="both"/>
      </w:pPr>
      <w:r>
        <w:rPr>
          <w:rFonts w:ascii="Times New Roman" w:cs="Times New Roman" w:eastAsia="宋体" w:hAnsi="Times New Roman"/>
          <w:sz w:val="24"/>
          <w:szCs w:val="24"/>
        </w:rPr>
        <w:t xml:space="preserve">首先，对于尚处新手至胜任阶段者，其判断依据仍以外显规则为主，缄默的直觉尚未形成，此阶段所亟需的正是大量的亲历实践，以将规则内化为情境识别。因此，卸载在此阶段直接中断了内化的过程，其代价是能力的未及形成，而非既有能力的损失。其次，对于已达精通与专家阶段者，直觉性判断业已稳固，短期的卸载主要影响能力的运用频次而非其存有；但若卸载长期持续，则维持直觉所必需的实践基础也将被侵蚀，其退化只是来得较迟。</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表2-5 技能获得阶段与认知卸载代价的对应关系</w:t>
      </w:r>
    </w:p>
    <w:p>
      <w:pPr>
        <w:spacing w:after="0" w:before="0" w:line="300" w:lineRule="auto"/>
        <w:jc w:val="center"/>
      </w:pPr>
      <w:r>
        <w:rPr>
          <w:rFonts w:ascii="Times New Roman" w:cs="Times New Roman" w:eastAsia="宋体" w:hAnsi="Times New Roman"/>
          <w:sz w:val="18"/>
          <w:szCs w:val="18"/>
        </w:rPr>
        <w:t xml:space="preserve">Correspondence between Stages of Skill Acquisition and the Cost of Cognitive Offloading</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专业阶段</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判断依据的主要形态</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该阶段的核心需求</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卸载的直接后果</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代价的性质</w:t>
            </w:r>
          </w:p>
        </w:tc>
      </w:tr>
      <w:tr>
        <w:trPr>
          <w:tblHeader w:val="false"/>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新手</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情境无关的外显规则</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大量亲历实践</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中断规则向情境识别的内化</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能力未及形成</w:t>
            </w:r>
          </w:p>
        </w:tc>
      </w:tr>
      <w:tr>
        <w:trPr>
          <w:tblHeader w:val="false"/>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高级新手</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外显规则与初步情境要素</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大量亲历实践</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中断内化过程</w:t>
            </w:r>
          </w:p>
        </w:tc>
        <w:tc>
          <w:tcPr>
            <w:tcW w:type="dxa" w:w="18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能力未及形成</w:t>
            </w:r>
          </w:p>
        </w:tc>
      </w:tr>
      <w:tr>
        <w:trPr>
          <w:tblHeader w:val="false"/>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胜任者</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规则与情境的有意识权衡</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在真实约束下反复取舍</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取消取舍的机会</w:t>
            </w:r>
          </w:p>
        </w:tc>
        <w:tc>
          <w:tcPr>
            <w:tcW w:type="dxa" w:w="18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能力未及形成</w:t>
            </w:r>
          </w:p>
        </w:tc>
      </w:tr>
      <w:tr>
        <w:trPr>
          <w:tblHeader w:val="false"/>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精通者</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以整体情境识别为主</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维持运用频次</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运用频次下降</w:t>
            </w:r>
          </w:p>
        </w:tc>
        <w:tc>
          <w:tcPr>
            <w:tcW w:type="dxa" w:w="18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既有能力的运用受抑</w:t>
            </w:r>
          </w:p>
        </w:tc>
      </w:tr>
      <w:tr>
        <w:trPr>
          <w:tblHeader w:val="false"/>
        </w:trPr>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专家</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直觉性反应</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维持实践基础</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长期持续则侵蚀实践基础</w:t>
            </w:r>
          </w:p>
        </w:tc>
        <w:tc>
          <w:tcPr>
            <w:tcW w:type="dxa" w:w="18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既有能力的迟延退化</w:t>
            </w:r>
          </w:p>
        </w:tc>
      </w:tr>
    </w:tbl>
    <w:p>
      <w:pPr>
        <w:spacing w:line="200" w:lineRule="auto"/>
      </w:pPr>
      <w:r>
        <w:rPr>
          <w:sz w:val="18"/>
          <w:szCs w:val="18"/>
        </w:rPr>
        <w:t xml:space="preserve"/>
      </w:r>
    </w:p>
    <w:p>
      <w:pPr>
        <w:spacing w:after="60" w:before="0" w:line="400" w:lineRule="auto"/>
        <w:ind w:firstLine="480"/>
        <w:jc w:val="both"/>
      </w:pPr>
      <w:r>
        <w:rPr>
          <w:rFonts w:ascii="Times New Roman" w:cs="Times New Roman" w:eastAsia="宋体" w:hAnsi="Times New Roman"/>
          <w:sz w:val="24"/>
          <w:szCs w:val="24"/>
        </w:rPr>
        <w:t xml:space="preserve">这一推论为第1章所述提示语的悖论提供了理论解释：工具对成熟设计者是放大器，对未成熟者则是绕过积累的捷径，其根源正在于二者与缄默知识的关系不同，即前者已然拥有，后者尚待形成。而工具推广的实际效果，恰恰是使后一类使用者的数量远大于前者。</w:t>
      </w:r>
    </w:p>
    <w:p>
      <w:pPr>
        <w:pStyle w:val="Heading3"/>
        <w:spacing w:after="160" w:before="240" w:line="360" w:lineRule="auto"/>
        <w:jc w:val="left"/>
      </w:pPr>
      <w:r>
        <w:rPr>
          <w:rFonts w:ascii="Times New Roman" w:cs="Times New Roman" w:eastAsia="黑体" w:hAnsi="Times New Roman"/>
          <w:b/>
          <w:bCs/>
          <w:sz w:val="24"/>
          <w:szCs w:val="24"/>
        </w:rPr>
        <w:t xml:space="preserve">2.3.5　缄默知识可否被编码：一项历史教训</w:t>
      </w:r>
    </w:p>
    <w:p>
      <w:pPr>
        <w:spacing w:after="60" w:before="0" w:line="400" w:lineRule="auto"/>
        <w:ind w:firstLine="480"/>
        <w:jc w:val="both"/>
      </w:pPr>
      <w:r>
        <w:rPr>
          <w:rFonts w:ascii="Times New Roman" w:cs="Times New Roman" w:eastAsia="宋体" w:hAnsi="Times New Roman"/>
          <w:sz w:val="24"/>
          <w:szCs w:val="24"/>
        </w:rPr>
        <w:t xml:space="preserve">此处需要回应一项可能的反驳：既然生成式模型已在海量的专业作品上完成训练，专家的判断是否已被保存于模型之中？若果真如此，则设计者个体的能力退化便无关紧要，因为判断已有更可靠的载体。</w:t>
      </w:r>
    </w:p>
    <w:p>
      <w:pPr>
        <w:spacing w:after="60" w:before="0" w:line="400" w:lineRule="auto"/>
        <w:ind w:firstLine="480"/>
        <w:jc w:val="both"/>
      </w:pPr>
      <w:r>
        <w:rPr>
          <w:rFonts w:ascii="Times New Roman" w:cs="Times New Roman" w:eastAsia="宋体" w:hAnsi="Times New Roman"/>
          <w:sz w:val="24"/>
          <w:szCs w:val="24"/>
        </w:rPr>
        <w:t xml:space="preserve">这一反驳可以从知识工程的历史获得回答。二十世纪八十年代，专家系统（expert system）的研究者曾大规模尝试将领域专家的判断抽取为可执行的规则库，其所遭遇的核心障碍被称为知识获取瓶颈（knowledge acquisition bottleneck），即专家能够作出精准的判断，却无法准确说明自己作出判断的依据，其所陈述的规则往往是事后的合理化重构，而非实际所循的路径</w:t>
      </w:r>
      <w:r>
        <w:rPr>
          <w:rFonts w:ascii="Times New Roman" w:cs="Times New Roman" w:eastAsia="宋体" w:hAnsi="Times New Roman"/>
          <w:sz w:val="24"/>
          <w:szCs w:val="24"/>
          <w:vertAlign w:val="superscript"/>
        </w:rPr>
        <w:t xml:space="preserve">[17]</w:t>
      </w:r>
      <w:r>
        <w:rPr>
          <w:rFonts w:ascii="Times New Roman" w:cs="Times New Roman" w:eastAsia="宋体" w:hAnsi="Times New Roman"/>
          <w:sz w:val="24"/>
          <w:szCs w:val="24"/>
        </w:rPr>
        <w:t xml:space="preserve">。这一障碍的根源正是波兰尼所揭示的缄默性，即所知多于所能言说，因此凡以言说为中介的抽取，所得到的必然是残余。</w:t>
      </w:r>
    </w:p>
    <w:p>
      <w:pPr>
        <w:spacing w:after="60" w:before="0" w:line="400" w:lineRule="auto"/>
        <w:ind w:firstLine="480"/>
        <w:jc w:val="both"/>
      </w:pPr>
      <w:r>
        <w:rPr>
          <w:rFonts w:ascii="Times New Roman" w:cs="Times New Roman" w:eastAsia="宋体" w:hAnsi="Times New Roman"/>
          <w:sz w:val="24"/>
          <w:szCs w:val="24"/>
        </w:rPr>
        <w:t xml:space="preserve">生成式模型走的是另一条路径，即不试图抽取规则，而以海量样本拟合产物的统计分布。这条路径确实绕开了知识获取瓶颈，其成效也有目共睹。但需要辨明的是，模型所习得的是产物的统计规律，而非产生产物的判断过程。二者的差别不容忽视：模型可以高度逼真地复现专家作品的表面特征，包括其构图倾向、色彩关系与材质趣味，却并不因此拥有专家在特定情境中权衡取舍的能力，因为后者从未以可学习的形式出现在训练数据之中。换言之，数据所记录的是设计者最终选择了什么，而非他为何如此选择、又曾放弃了什么。</w:t>
      </w:r>
    </w:p>
    <w:p>
      <w:pPr>
        <w:spacing w:after="60" w:before="0" w:line="400" w:lineRule="auto"/>
        <w:ind w:firstLine="480"/>
        <w:jc w:val="both"/>
      </w:pPr>
      <w:r>
        <w:rPr>
          <w:rFonts w:ascii="Times New Roman" w:cs="Times New Roman" w:eastAsia="宋体" w:hAnsi="Times New Roman"/>
          <w:sz w:val="24"/>
          <w:szCs w:val="24"/>
        </w:rPr>
        <w:t xml:space="preserve">因此，认为专业判断已被安全保存于模型之中是一种误认。模型所保存的是判断的痕迹，而非判断本身，痕迹可以被模仿，判断则只能被实践。这一辨析也从反面印证了前节的结论：缄默知识若不在实践着的个体之中，便不在任何地方。</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2.4　韧性理论及其向认知领域的迁移</w:t>
      </w:r>
    </w:p>
    <w:p>
      <w:pPr>
        <w:spacing w:after="60" w:before="0" w:line="400" w:lineRule="auto"/>
        <w:ind w:firstLine="480"/>
        <w:jc w:val="both"/>
      </w:pPr>
      <w:r>
        <w:rPr>
          <w:rFonts w:ascii="Times New Roman" w:cs="Times New Roman" w:eastAsia="宋体" w:hAnsi="Times New Roman"/>
          <w:sz w:val="24"/>
          <w:szCs w:val="24"/>
        </w:rPr>
        <w:t xml:space="preserve">前三节分别说明了卸载的机理、后果与最易流失的对象，但尚缺乏一个能够统摄以上讨论的描述框架。本节引入韧性概念，依次考察其在生态学中的源流、向心理学与认知科学的迁移、迁移至人机协同情境时须正视的三处关键差异，以及这一概念在迁移过程中所受到的批评，最后确定本书的分析单位。</w:t>
      </w:r>
    </w:p>
    <w:p>
      <w:pPr>
        <w:pStyle w:val="Heading3"/>
        <w:spacing w:after="160" w:before="240" w:line="360" w:lineRule="auto"/>
        <w:jc w:val="left"/>
      </w:pPr>
      <w:r>
        <w:rPr>
          <w:rFonts w:ascii="Times New Roman" w:cs="Times New Roman" w:eastAsia="黑体" w:hAnsi="Times New Roman"/>
          <w:b/>
          <w:bCs/>
          <w:sz w:val="24"/>
          <w:szCs w:val="24"/>
        </w:rPr>
        <w:t xml:space="preserve">2.4.1　韧性概念的源流</w:t>
      </w:r>
    </w:p>
    <w:p>
      <w:pPr>
        <w:spacing w:after="60" w:before="0" w:line="400" w:lineRule="auto"/>
        <w:ind w:firstLine="480"/>
        <w:jc w:val="both"/>
      </w:pPr>
      <w:r>
        <w:rPr>
          <w:rFonts w:ascii="Times New Roman" w:cs="Times New Roman" w:eastAsia="宋体" w:hAnsi="Times New Roman"/>
          <w:sz w:val="24"/>
          <w:szCs w:val="24"/>
        </w:rPr>
        <w:t xml:space="preserve">韧性（resilience）概念由霍林（Holling，1973）在生态学中确立，用以刻画系统在承受扰动的同时维持自身结构与功能的能力</w:t>
      </w:r>
      <w:r>
        <w:rPr>
          <w:rFonts w:ascii="Times New Roman" w:cs="Times New Roman" w:eastAsia="宋体" w:hAnsi="Times New Roman"/>
          <w:sz w:val="24"/>
          <w:szCs w:val="24"/>
          <w:vertAlign w:val="superscript"/>
        </w:rPr>
        <w:t xml:space="preserve">[18]</w:t>
      </w:r>
      <w:r>
        <w:rPr>
          <w:rFonts w:ascii="Times New Roman" w:cs="Times New Roman" w:eastAsia="宋体" w:hAnsi="Times New Roman"/>
          <w:sz w:val="24"/>
          <w:szCs w:val="24"/>
        </w:rPr>
        <w:t xml:space="preserve">。霍林特别将韧性与稳定性（stability）相区分：稳定性关注系统受扰后返回平衡态的速度，韧性则关注系统在不改变其基本结构的前提下所能承受的扰动幅度。这意味着，一个高度稳定的系统未必具有韧性，它可能在小扰动下迅速复原，却在扰动超出某一阈值时整体崩溃。</w:t>
      </w:r>
    </w:p>
    <w:p>
      <w:pPr>
        <w:spacing w:after="60" w:before="0" w:line="400" w:lineRule="auto"/>
        <w:ind w:firstLine="480"/>
        <w:jc w:val="both"/>
      </w:pPr>
      <w:r>
        <w:rPr>
          <w:rFonts w:ascii="Times New Roman" w:cs="Times New Roman" w:eastAsia="宋体" w:hAnsi="Times New Roman"/>
          <w:sz w:val="24"/>
          <w:szCs w:val="24"/>
        </w:rPr>
        <w:t xml:space="preserve">这一区分对本书具有方法论意义。若以稳定性的视角看待设计者与生成式工具的关系，则所关注的将是设计者在停用工具之后能否迅速恢复原有水准；而以韧性的视角看待，所关注的则是设计者在持续使用工具的条件下，其判断能力的基本结构能否不被改变。本书采取后一视角，其原因在于：停用工具在今日既不现实也无必要，真正的问题是在持续使用的条件下如何维持结构不变。</w:t>
      </w:r>
    </w:p>
    <w:p>
      <w:pPr>
        <w:pStyle w:val="Heading3"/>
        <w:spacing w:after="160" w:before="240" w:line="360" w:lineRule="auto"/>
        <w:jc w:val="left"/>
      </w:pPr>
      <w:r>
        <w:rPr>
          <w:rFonts w:ascii="Times New Roman" w:cs="Times New Roman" w:eastAsia="黑体" w:hAnsi="Times New Roman"/>
          <w:b/>
          <w:bCs/>
          <w:sz w:val="24"/>
          <w:szCs w:val="24"/>
        </w:rPr>
        <w:t xml:space="preserve">2.4.2　向心理学与认知科学的迁移</w:t>
      </w:r>
    </w:p>
    <w:p>
      <w:pPr>
        <w:spacing w:after="60" w:before="0" w:line="400" w:lineRule="auto"/>
        <w:ind w:firstLine="480"/>
        <w:jc w:val="both"/>
      </w:pPr>
      <w:r>
        <w:rPr>
          <w:rFonts w:ascii="Times New Roman" w:cs="Times New Roman" w:eastAsia="宋体" w:hAnsi="Times New Roman"/>
          <w:sz w:val="24"/>
          <w:szCs w:val="24"/>
        </w:rPr>
        <w:t xml:space="preserve">韧性概念其后广泛迁移至心理学领域。首先，发展心理学关于韧性的研究关注个体在逆境之中仍能维持正常发展的现象，并指出这种现象所依赖的多为寻常的保护性因素而非特殊禀赋</w:t>
      </w:r>
      <w:r>
        <w:rPr>
          <w:rFonts w:ascii="Times New Roman" w:cs="Times New Roman" w:eastAsia="宋体" w:hAnsi="Times New Roman"/>
          <w:sz w:val="24"/>
          <w:szCs w:val="24"/>
          <w:vertAlign w:val="superscript"/>
        </w:rPr>
        <w:t xml:space="preserve">[19]</w:t>
      </w:r>
      <w:r>
        <w:rPr>
          <w:rFonts w:ascii="Times New Roman" w:cs="Times New Roman" w:eastAsia="宋体" w:hAnsi="Times New Roman"/>
          <w:sz w:val="24"/>
          <w:szCs w:val="24"/>
        </w:rPr>
        <w:t xml:space="preserve">。其次，在认知老化研究中，认知储备（cognitive reserve）概念被用以解释一项观察，即具有相近病理负荷的个体，其认知表现可能相去甚远，而教育经历、职业复杂度与认知活动的丰富程度构成了这一差异的来源</w:t>
      </w:r>
      <w:r>
        <w:rPr>
          <w:rFonts w:ascii="Times New Roman" w:cs="Times New Roman" w:eastAsia="宋体" w:hAnsi="Times New Roman"/>
          <w:sz w:val="24"/>
          <w:szCs w:val="24"/>
          <w:vertAlign w:val="superscript"/>
        </w:rPr>
        <w:t xml:space="preserve">[20]</w:t>
      </w:r>
      <w:r>
        <w:rPr>
          <w:rFonts w:ascii="Times New Roman" w:cs="Times New Roman" w:eastAsia="宋体" w:hAnsi="Times New Roman"/>
          <w:sz w:val="24"/>
          <w:szCs w:val="24"/>
        </w:rPr>
        <w:t xml:space="preserve">。以上研究的共同关切，均是在损耗条件之下功能何以得以维持。</w:t>
      </w:r>
    </w:p>
    <w:p>
      <w:pPr>
        <w:pStyle w:val="Heading3"/>
        <w:spacing w:after="160" w:before="240" w:line="360" w:lineRule="auto"/>
        <w:jc w:val="left"/>
      </w:pPr>
      <w:r>
        <w:rPr>
          <w:rFonts w:ascii="Times New Roman" w:cs="Times New Roman" w:eastAsia="黑体" w:hAnsi="Times New Roman"/>
          <w:b/>
          <w:bCs/>
          <w:sz w:val="24"/>
          <w:szCs w:val="24"/>
        </w:rPr>
        <w:t xml:space="preserve">2.4.3　迁移至人机协同情境的三处关键差异</w:t>
      </w:r>
    </w:p>
    <w:p>
      <w:pPr>
        <w:spacing w:after="60" w:before="0" w:line="400" w:lineRule="auto"/>
        <w:ind w:firstLine="480"/>
        <w:jc w:val="both"/>
      </w:pPr>
      <w:r>
        <w:rPr>
          <w:rFonts w:ascii="Times New Roman" w:cs="Times New Roman" w:eastAsia="宋体" w:hAnsi="Times New Roman"/>
          <w:sz w:val="24"/>
          <w:szCs w:val="24"/>
        </w:rPr>
        <w:t xml:space="preserve">将认知韧性概念从老化与病理语境迁移至人机协同语境，须正视三处关键差异。以上差异不仅是概念适用性的问题，更直接决定了干预路径的选择，因而构成本书理论工作的核心部分，具体如表2-6所示。</w:t>
      </w:r>
    </w:p>
    <w:p>
      <w:pPr>
        <w:spacing w:after="60" w:before="0" w:line="400" w:lineRule="auto"/>
        <w:ind w:firstLine="480"/>
        <w:jc w:val="both"/>
      </w:pPr>
      <w:r>
        <w:rPr>
          <w:rFonts w:ascii="Times New Roman" w:cs="Times New Roman" w:eastAsia="宋体" w:hAnsi="Times New Roman"/>
          <w:sz w:val="24"/>
          <w:szCs w:val="24"/>
        </w:rPr>
        <w:t xml:space="preserve">第一，扰动的来源不同。在老化与病理语境中，损耗是外生的、被动承受的，个体无从选择是否老去；而在人机协同语境中，卸载是内生的、自愿的、行为性的，每一次让渡均出自使用者本人的选择。因此，维系认知韧性的路径不能诉诸抵御外部损害，而只能诉诸对自身行为边界的重新设定。既然扰动来自选择，那么干预的着力点便应当在选择发生的时刻与场所，即人机交互的界面之上。</w:t>
      </w:r>
    </w:p>
    <w:p>
      <w:pPr>
        <w:spacing w:after="60" w:before="0" w:line="400" w:lineRule="auto"/>
        <w:ind w:firstLine="480"/>
        <w:jc w:val="both"/>
      </w:pPr>
      <w:r>
        <w:rPr>
          <w:rFonts w:ascii="Times New Roman" w:cs="Times New Roman" w:eastAsia="宋体" w:hAnsi="Times New Roman"/>
          <w:sz w:val="24"/>
          <w:szCs w:val="24"/>
        </w:rPr>
        <w:t xml:space="preserve">第二，扰动的可欲性不同。病理损耗无人欲求，因此一切干预均可以消除损耗为目标；而认知卸载在单次尺度上是被欲求的，它确实带来了效率的改善与负担的减轻，且这种改善并非幻觉。因此，任何以取消卸载为目标的干预均不具备可行性，也不具备正当性，因为它要求使用者放弃真实的收益以避免尚未显现的代价，这在动机上难以成立。可行的干预只能是有选择的、有位置的，即不是减少卸载，而是划定何处可以卸载、何处不可。这一认识直接规定了第4章的工作性质。</w:t>
      </w:r>
    </w:p>
    <w:p>
      <w:pPr>
        <w:spacing w:after="60" w:before="0" w:line="400" w:lineRule="auto"/>
        <w:ind w:firstLine="480"/>
        <w:jc w:val="both"/>
      </w:pPr>
      <w:r>
        <w:rPr>
          <w:rFonts w:ascii="Times New Roman" w:cs="Times New Roman" w:eastAsia="宋体" w:hAnsi="Times New Roman"/>
          <w:sz w:val="24"/>
          <w:szCs w:val="24"/>
        </w:rPr>
        <w:t xml:space="preserve">第三，韧性的可设计性不同。认知储备的积累主要依赖长期的教育经历与生活方式，其干预窗口以数十年计，难以通过短期措施改变；而认知卸载行为发生于人机界面之上，界面是被设计出来的，因而是可以被重新设计的。这一差异具有决定性意义，它使认知韧性由一个描述性的个体属性，转变为一个可通过设计操作的变量。由此可见，本书全部干预方案的可能性条件即在于此：若认知韧性纯属个体禀赋，则设计学对此无能为力；正因为它相当程度上取决于工具与流程的安排，设计学的介入才成为可能，也才成为一项应尽的职责。</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表2-6 认知韧性在两类语境中的三处关键差异</w:t>
      </w:r>
    </w:p>
    <w:p>
      <w:pPr>
        <w:spacing w:after="0" w:before="0" w:line="300" w:lineRule="auto"/>
        <w:jc w:val="center"/>
      </w:pPr>
      <w:r>
        <w:rPr>
          <w:rFonts w:ascii="Times New Roman" w:cs="Times New Roman" w:eastAsia="宋体" w:hAnsi="Times New Roman"/>
          <w:sz w:val="18"/>
          <w:szCs w:val="18"/>
        </w:rPr>
        <w:t xml:space="preserve">Three Key Differences of Cognitive Resilience in Two Contexts</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比较维度</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老化与病理语境</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人机协同语境</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对干预路径的规定</w:t>
            </w:r>
          </w:p>
        </w:tc>
      </w:tr>
      <w:tr>
        <w:trPr>
          <w:tblHeader w:val="false"/>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扰动来源</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外生，被动承受</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内生，自愿，行为性</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干预着力点在人机交互界面，而非抵御外部损害</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扰动可欲性</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无人欲求，可以消除为目标</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单次尺度上被欲求，收益真实</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不以减少卸载为目标，而以划定边界为目标</w:t>
            </w:r>
          </w:p>
        </w:tc>
      </w:tr>
      <w:tr>
        <w:trPr>
          <w:tblHeader w:val="false"/>
        </w:trPr>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可设计性</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依赖数十年的教育经历与生活方式</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发生于可被重新设计的界面之上</w:t>
            </w:r>
          </w:p>
        </w:tc>
        <w:tc>
          <w:tcPr>
            <w:tcW w:type="dxa" w:w="225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认知韧性由个体属性转为可设计变量</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2.4.4　迁移的限度：韧性话语的责任转嫁风险</w:t>
      </w:r>
    </w:p>
    <w:p>
      <w:pPr>
        <w:spacing w:after="60" w:before="0" w:line="400" w:lineRule="auto"/>
        <w:ind w:firstLine="480"/>
        <w:jc w:val="both"/>
      </w:pPr>
      <w:r>
        <w:rPr>
          <w:rFonts w:ascii="Times New Roman" w:cs="Times New Roman" w:eastAsia="宋体" w:hAnsi="Times New Roman"/>
          <w:sz w:val="24"/>
          <w:szCs w:val="24"/>
        </w:rPr>
        <w:t xml:space="preserve">韧性概念在其广泛迁移的过程中曾受到一项严肃的批评：将系统性、结构性的问题转译为个体的适应能力问题，从而使责任从制度一侧转移至个体一侧</w:t>
      </w:r>
      <w:r>
        <w:rPr>
          <w:rFonts w:ascii="Times New Roman" w:cs="Times New Roman" w:eastAsia="宋体" w:hAnsi="Times New Roman"/>
          <w:color w:val="C00000"/>
          <w:sz w:val="24"/>
          <w:szCs w:val="24"/>
        </w:rPr>
        <w:t xml:space="preserve">【待补：韧性话语责任转嫁批评的代表性文献】</w:t>
      </w:r>
      <w:r>
        <w:rPr>
          <w:rFonts w:ascii="Times New Roman" w:cs="Times New Roman" w:eastAsia="宋体" w:hAnsi="Times New Roman"/>
          <w:sz w:val="24"/>
          <w:szCs w:val="24"/>
        </w:rPr>
        <w:t xml:space="preserve">。依据这一批评，倡导个体“更有韧性”可能恰恰起到了掩护结构性缺陷的作用，即问题不在个人是否坚韧，而在环境何以如此严苛。</w:t>
      </w:r>
    </w:p>
    <w:p>
      <w:pPr>
        <w:spacing w:after="60" w:before="0" w:line="400" w:lineRule="auto"/>
        <w:ind w:firstLine="480"/>
        <w:jc w:val="both"/>
      </w:pPr>
      <w:r>
        <w:rPr>
          <w:rFonts w:ascii="Times New Roman" w:cs="Times New Roman" w:eastAsia="宋体" w:hAnsi="Times New Roman"/>
          <w:sz w:val="24"/>
          <w:szCs w:val="24"/>
        </w:rPr>
        <w:t xml:space="preserve">本书认为这一批评切中要害，并据此作出如下自我限定：本书不将认知韧性定位为对设计者的道德要求或职业规训，不主张问题的解决有赖于使用者的自律。恰恰相反，本书的基本立场是，认知韧性是工具与制度应当予以支持的属性，而非个体应当独力承担的责任。因此，第6章所构建的是面向工具的干预机制而非面向使用者的行为倡导，第7章所构建的是流程层面的溯源制度而非个人层面的自我记录，第8章所讨论的是教育与产业的制度安排而非从业者的个人修养。以上安排均是这一自我限定的贯彻。需要强调的是，凡将本书主张误读为要求设计者“自我克制”者，均与本书的立场相悖。</w:t>
      </w:r>
    </w:p>
    <w:p>
      <w:pPr>
        <w:pStyle w:val="Heading3"/>
        <w:spacing w:after="160" w:before="240" w:line="360" w:lineRule="auto"/>
        <w:jc w:val="left"/>
      </w:pPr>
      <w:r>
        <w:rPr>
          <w:rFonts w:ascii="Times New Roman" w:cs="Times New Roman" w:eastAsia="黑体" w:hAnsi="Times New Roman"/>
          <w:b/>
          <w:bCs/>
          <w:sz w:val="24"/>
          <w:szCs w:val="24"/>
        </w:rPr>
        <w:t xml:space="preserve">2.4.5　韧性的三个层次及本书的分析单位</w:t>
      </w:r>
    </w:p>
    <w:p>
      <w:pPr>
        <w:spacing w:after="60" w:before="0" w:line="400" w:lineRule="auto"/>
        <w:ind w:firstLine="480"/>
        <w:jc w:val="both"/>
      </w:pPr>
      <w:r>
        <w:rPr>
          <w:rFonts w:ascii="Times New Roman" w:cs="Times New Roman" w:eastAsia="宋体" w:hAnsi="Times New Roman"/>
          <w:sz w:val="24"/>
          <w:szCs w:val="24"/>
        </w:rPr>
        <w:t xml:space="preserve">韧性研究在心理学与组织研究中素有层次之分，这种区分对本书确定分析单位颇有助益。就本书的问题而言，可以相应地区分三个层次，如表2-7所示。</w:t>
      </w:r>
    </w:p>
    <w:p>
      <w:pPr>
        <w:spacing w:after="60" w:before="0" w:line="400" w:lineRule="auto"/>
        <w:ind w:firstLine="480"/>
        <w:jc w:val="both"/>
      </w:pPr>
      <w:r>
        <w:rPr>
          <w:rFonts w:ascii="Times New Roman" w:cs="Times New Roman" w:eastAsia="宋体" w:hAnsi="Times New Roman"/>
          <w:sz w:val="24"/>
          <w:szCs w:val="24"/>
        </w:rPr>
        <w:t xml:space="preserve">第一，个体层次，即设计者本人的判断能力及其维持状况，包括后文所述三个维度的具体表现。第二，组织层次，即设计团队所具备的支持性安排，如方案评审制度、过程管理规程、师徒传承机制以及对推敲时间的制度性保障，这一层次的安排可在个体自觉不足时提供外部的追问与约束。第三，系统层次，即设计教育的培养制度、行业的执业规范与评价标准以及工具生态的整体取向，这一层次决定了前两个层次所面对的基本条件。</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表2-7 认知韧性的三个层次与本书的处理方式</w:t>
      </w:r>
    </w:p>
    <w:p>
      <w:pPr>
        <w:spacing w:after="0" w:before="0" w:line="300" w:lineRule="auto"/>
        <w:jc w:val="center"/>
      </w:pPr>
      <w:r>
        <w:rPr>
          <w:rFonts w:ascii="Times New Roman" w:cs="Times New Roman" w:eastAsia="宋体" w:hAnsi="Times New Roman"/>
          <w:sz w:val="18"/>
          <w:szCs w:val="18"/>
        </w:rPr>
        <w:t xml:space="preserve">Three Levels of Cognitive Resilience and the Corresponding Treatment in This Book</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层次</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具体所指</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支持性安排举例</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本书的处理章次</w:t>
            </w:r>
          </w:p>
        </w:tc>
      </w:tr>
      <w:tr>
        <w:trPr>
          <w:tblHeader w:val="false"/>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个体层次</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设计者本人的判断能力及其维持状况</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元认知监控、自主验证行为、创作能动性</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第2章、第5章、第6章</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组织层次</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设计团队所具备的支持性安排</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方案评审制度、过程管理规程、师徒传承机制、推敲时间的制度性保障</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第7章</w:t>
            </w:r>
          </w:p>
        </w:tc>
      </w:tr>
      <w:tr>
        <w:trPr>
          <w:tblHeader w:val="false"/>
        </w:trPr>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系统层次</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教育制度、行业规范与工具生态的整体取向</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培养方案、执业规范与评价标准、工具的默认设定</w:t>
            </w:r>
          </w:p>
        </w:tc>
        <w:tc>
          <w:tcPr>
            <w:tcW w:type="dxa" w:w="225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第8章</w:t>
            </w:r>
          </w:p>
        </w:tc>
      </w:tr>
    </w:tbl>
    <w:p>
      <w:pPr>
        <w:spacing w:line="200" w:lineRule="auto"/>
      </w:pPr>
      <w:r>
        <w:rPr>
          <w:sz w:val="18"/>
          <w:szCs w:val="18"/>
        </w:rPr>
        <w:t xml:space="preserve"/>
      </w:r>
    </w:p>
    <w:p>
      <w:pPr>
        <w:spacing w:after="60" w:before="0" w:line="400" w:lineRule="auto"/>
        <w:ind w:firstLine="480"/>
        <w:jc w:val="both"/>
      </w:pPr>
      <w:r>
        <w:rPr>
          <w:rFonts w:ascii="Times New Roman" w:cs="Times New Roman" w:eastAsia="宋体" w:hAnsi="Times New Roman"/>
          <w:sz w:val="24"/>
          <w:szCs w:val="24"/>
        </w:rPr>
        <w:t xml:space="preserve">以上三个层次相互支撑而非彼此独立。第1章末尾所观察到的征候分布不均现象，即具备成熟评审机制的机构受损较轻、个体从业者与小型团队受损较重，正是组织层次的支持性安排在起作用的证据。反之，若系统层次的工期标准与评价方式均以生成式工作流为基准而设，则组织层次的努力也难以为继，个体层次的自觉更无从谈起。</w:t>
      </w:r>
    </w:p>
    <w:p>
      <w:pPr>
        <w:spacing w:after="60" w:before="0" w:line="400" w:lineRule="auto"/>
        <w:ind w:firstLine="480"/>
        <w:jc w:val="both"/>
      </w:pPr>
      <w:r>
        <w:rPr>
          <w:rFonts w:ascii="Times New Roman" w:cs="Times New Roman" w:eastAsia="宋体" w:hAnsi="Times New Roman"/>
          <w:sz w:val="24"/>
          <w:szCs w:val="24"/>
        </w:rPr>
        <w:t xml:space="preserve">本书以个体层次与工具层次为主要分析单位，其原因在于：认知卸载行为发生于设计者与工具的交互之处，此处是全部问题的直接发生地，也是干预的最短作用路径。但本书并不因此忽略其余两个层次，第7章的溯源制度指向组织层次，第8章的教育与产业讨论则上溯至系统层次。以上三个层次的贯通，是本书对策建议得以成立的前提。</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2.5　概念综合：认知韧性的三维界定</w:t>
      </w:r>
    </w:p>
    <w:p>
      <w:pPr>
        <w:spacing w:after="60" w:before="0" w:line="400" w:lineRule="auto"/>
        <w:ind w:firstLine="480"/>
        <w:jc w:val="both"/>
      </w:pPr>
      <w:r>
        <w:rPr>
          <w:rFonts w:ascii="Times New Roman" w:cs="Times New Roman" w:eastAsia="宋体" w:hAnsi="Times New Roman"/>
          <w:sz w:val="24"/>
          <w:szCs w:val="24"/>
        </w:rPr>
        <w:t xml:space="preserve">前四节分别检讨了四条理论脉络的贡献与限度，本节的任务是将其综合为一个可用于后续分析的认知韧性界定。为确保这一界定不致沦为空洞的标签，本节首先提出界定应当满足的三项条件，其次给出三个维度及其可观测指征，再次说明三者之间的关系以及与相邻概念的分野，最后坦陈界定本身的局限与测量的困难。</w:t>
      </w:r>
    </w:p>
    <w:p>
      <w:pPr>
        <w:pStyle w:val="Heading3"/>
        <w:spacing w:after="160" w:before="240" w:line="360" w:lineRule="auto"/>
        <w:jc w:val="left"/>
      </w:pPr>
      <w:r>
        <w:rPr>
          <w:rFonts w:ascii="Times New Roman" w:cs="Times New Roman" w:eastAsia="黑体" w:hAnsi="Times New Roman"/>
          <w:b/>
          <w:bCs/>
          <w:sz w:val="24"/>
          <w:szCs w:val="24"/>
        </w:rPr>
        <w:t xml:space="preserve">2.5.1　界定应当满足的三项条件</w:t>
      </w:r>
    </w:p>
    <w:p>
      <w:pPr>
        <w:spacing w:after="60" w:before="0" w:line="400" w:lineRule="auto"/>
        <w:ind w:firstLine="480"/>
        <w:jc w:val="both"/>
      </w:pPr>
      <w:r>
        <w:rPr>
          <w:rFonts w:ascii="Times New Roman" w:cs="Times New Roman" w:eastAsia="宋体" w:hAnsi="Times New Roman"/>
          <w:sz w:val="24"/>
          <w:szCs w:val="24"/>
        </w:rPr>
        <w:t xml:space="preserve">一个可用于本书后续分析的认知韧性界定，须同时满足三项条件。第一为可辨析，即能够与相邻概念清晰区分，不致沦为泛指一切良好状态的空洞标签。第二为可观测，即能够落实为具体的行为指征，使其强弱可被判别而非仅可被感叹。第三为可干预，即其构成要素须与可操作的设计变量相关联，否则概念纵然精确，对实践也无所助益。以下界定即依据以上三项条件而设，四条理论脉络向这一界定的汇聚关系如图2-5所示。</w:t>
      </w:r>
    </w:p>
    <w:p>
      <w:pPr>
        <w:spacing w:after="120" w:before="120" w:line="400" w:lineRule="auto"/>
        <w:jc w:val="center"/>
      </w:pPr>
      <w:r>
        <w:rPr>
          <w:rFonts w:ascii="Times New Roman" w:cs="Times New Roman" w:eastAsia="宋体" w:hAnsi="Times New Roman"/>
          <w:color w:val="808080"/>
          <w:sz w:val="24"/>
          <w:szCs w:val="24"/>
        </w:rPr>
        <w:t xml:space="preserve">［此处插入图2-5］</w:t>
      </w:r>
    </w:p>
    <w:p>
      <w:pPr>
        <w:spacing w:after="0" w:before="0" w:line="300" w:lineRule="auto"/>
        <w:jc w:val="center"/>
      </w:pPr>
      <w:r>
        <w:rPr>
          <w:rFonts w:ascii="Times New Roman" w:cs="Times New Roman" w:eastAsia="宋体" w:hAnsi="Times New Roman"/>
          <w:sz w:val="18"/>
          <w:szCs w:val="18"/>
        </w:rPr>
        <w:t xml:space="preserve">图2-5 四条理论脉络向认知韧性界定的汇聚</w:t>
      </w:r>
    </w:p>
    <w:p>
      <w:pPr>
        <w:spacing w:after="0" w:before="0" w:line="300" w:lineRule="auto"/>
        <w:jc w:val="center"/>
      </w:pPr>
      <w:r>
        <w:rPr>
          <w:rFonts w:ascii="Times New Roman" w:cs="Times New Roman" w:eastAsia="宋体" w:hAnsi="Times New Roman"/>
          <w:sz w:val="18"/>
          <w:szCs w:val="18"/>
        </w:rPr>
        <w:t xml:space="preserve">The Convergence of Four Theoretical Lineages into the Definition of Cognitive Resilience</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2.5.2　三个维度及其可观测指征</w:t>
      </w:r>
    </w:p>
    <w:p>
      <w:pPr>
        <w:spacing w:after="60" w:before="0" w:line="400" w:lineRule="auto"/>
        <w:ind w:firstLine="480"/>
        <w:jc w:val="both"/>
      </w:pPr>
      <w:r>
        <w:rPr>
          <w:rFonts w:ascii="Times New Roman" w:cs="Times New Roman" w:eastAsia="宋体" w:hAnsi="Times New Roman"/>
          <w:sz w:val="24"/>
          <w:szCs w:val="24"/>
        </w:rPr>
        <w:t xml:space="preserve">本书将认知韧性操作化为三个可观测的维度，各维度的理论来源、含义与可观测指征如表2-8所示。</w:t>
      </w:r>
    </w:p>
    <w:p>
      <w:pPr>
        <w:spacing w:after="60" w:before="0" w:line="400" w:lineRule="auto"/>
        <w:ind w:firstLine="480"/>
        <w:jc w:val="both"/>
      </w:pPr>
      <w:r>
        <w:rPr>
          <w:rFonts w:ascii="Times New Roman" w:cs="Times New Roman" w:eastAsia="宋体" w:hAnsi="Times New Roman"/>
          <w:sz w:val="24"/>
          <w:szCs w:val="24"/>
        </w:rPr>
        <w:t xml:space="preserve">第一，元认知监控，指设计者对自身思维过程与依赖状态的觉察程度，承接2.1节的讨论而来。其可观测指征包括：能否指认在本次任务中何处依赖了工具以及依赖到何种程度；能否在事后重述某一处取舍的判断依据；其对自身能力的评估与实际表现之间的吻合度如何。这一维度居于三者之首，因为不觉察者不会验证，也不会意识到主张的缺席。</w:t>
      </w:r>
    </w:p>
    <w:p>
      <w:pPr>
        <w:spacing w:after="60" w:before="0" w:line="400" w:lineRule="auto"/>
        <w:ind w:firstLine="480"/>
        <w:jc w:val="both"/>
      </w:pPr>
      <w:r>
        <w:rPr>
          <w:rFonts w:ascii="Times New Roman" w:cs="Times New Roman" w:eastAsia="宋体" w:hAnsi="Times New Roman"/>
          <w:sz w:val="24"/>
          <w:szCs w:val="24"/>
        </w:rPr>
        <w:t xml:space="preserve">第二，自主验证行为，指设计者对人工智能生成结果进行独立核验的意愿与实际行动，承接2.2节关于自动化偏见的讨论而来。其可观测指征包括：验证所投入的时长及其在总工时中的占比；验证的覆盖范围是全面核验还是仅及关键项；遭遇异常或矛盾信息时的处置方式是深究还是搁置；对与模型输出相左的证据的接受程度如何。这一维度是三者之中最易观测的，也是干预效果最易显现的。</w:t>
      </w:r>
    </w:p>
    <w:p>
      <w:pPr>
        <w:spacing w:after="60" w:before="0" w:line="400" w:lineRule="auto"/>
        <w:ind w:firstLine="480"/>
        <w:jc w:val="both"/>
      </w:pPr>
      <w:r>
        <w:rPr>
          <w:rFonts w:ascii="Times New Roman" w:cs="Times New Roman" w:eastAsia="宋体" w:hAnsi="Times New Roman"/>
          <w:sz w:val="24"/>
          <w:szCs w:val="24"/>
        </w:rPr>
        <w:t xml:space="preserve">第三，创作能动性，指设计者在方案中保有个人审美主张与创作主导权的程度，承接2.3节关于缄默知识与主体性的讨论而来。其可观测指征包括：最终方案偏离模型默认输出的幅度；方案修改的深度，即属于表层的参数调整还是结构性的重新组织；能否陈述其取舍的理由并在受到质疑时为之辩护。这一维度最难观测，却最接近本书所关切的实质。</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表2-8 认知韧性的三个维度及其可观测指征</w:t>
      </w:r>
    </w:p>
    <w:p>
      <w:pPr>
        <w:spacing w:after="0" w:before="0" w:line="300" w:lineRule="auto"/>
        <w:jc w:val="center"/>
      </w:pPr>
      <w:r>
        <w:rPr>
          <w:rFonts w:ascii="Times New Roman" w:cs="Times New Roman" w:eastAsia="宋体" w:hAnsi="Times New Roman"/>
          <w:sz w:val="18"/>
          <w:szCs w:val="18"/>
        </w:rPr>
        <w:t xml:space="preserve">Three Dimensions of Cognitive Resilience and Their Observable Indicators</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维度</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理论来源</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含义</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可观测指征</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观测难度</w:t>
            </w:r>
          </w:p>
        </w:tc>
      </w:tr>
      <w:tr>
        <w:trPr>
          <w:tblHeader w:val="false"/>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元认知监控</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2.1节 元认知与认知卸载</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对自身思维过程与依赖状态的觉察程度</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①能否指认何处依赖了工具及其程度；②能否事后重述某处取舍的判断依据；③自我能力评估与实际表现的吻合度</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中（易受自陈失真影响）</w:t>
            </w:r>
          </w:p>
        </w:tc>
      </w:tr>
      <w:tr>
        <w:trPr>
          <w:tblHeader w:val="false"/>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自主验证行为</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2.2节 自动化自满与自动化偏见</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对生成结果进行独立核验的意愿与实际行动</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①验证时长及其在总工时中的占比；②验证覆盖范围（全面核验或仅及关键项）；③遭遇矛盾信息时深究或搁置；④对相左证据的接受程度</w:t>
            </w:r>
          </w:p>
        </w:tc>
        <w:tc>
          <w:tcPr>
            <w:tcW w:type="dxa" w:w="18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低（三者中最易观测）</w:t>
            </w:r>
          </w:p>
        </w:tc>
      </w:tr>
      <w:tr>
        <w:trPr>
          <w:tblHeader w:val="false"/>
        </w:trPr>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创作能动性</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2.3节 缄默知识与具身实践</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保有个人审美主张与创作主导权的程度</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①最终方案偏离模型默认输出的幅度；②修改深度（表层参数调整或结构性重组）；③能否陈述取舍理由并为之辩护</w:t>
            </w:r>
          </w:p>
        </w:tc>
        <w:tc>
          <w:tcPr>
            <w:tcW w:type="dxa" w:w="18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高（三者中最难观测）</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2.5.3　三个维度之间的关系</w:t>
      </w:r>
    </w:p>
    <w:p>
      <w:pPr>
        <w:spacing w:after="60" w:before="0" w:line="400" w:lineRule="auto"/>
        <w:ind w:firstLine="480"/>
        <w:jc w:val="both"/>
      </w:pPr>
      <w:r>
        <w:rPr>
          <w:rFonts w:ascii="Times New Roman" w:cs="Times New Roman" w:eastAsia="宋体" w:hAnsi="Times New Roman"/>
          <w:sz w:val="24"/>
          <w:szCs w:val="24"/>
        </w:rPr>
        <w:t xml:space="preserve">以上三个维度并非简单并列，其间存在一种递进的逻辑，即监控是前提，验证是手段，能动性是结果。未曾觉察自身依赖状态者不会产生验证的动机；从不验证生成结果者，其个人主张纵然存在也无从贯彻于方案之中。因此，在正常情形下，三者呈现同向变动。</w:t>
      </w:r>
    </w:p>
    <w:p>
      <w:pPr>
        <w:spacing w:after="60" w:before="0" w:line="400" w:lineRule="auto"/>
        <w:ind w:firstLine="480"/>
        <w:jc w:val="both"/>
      </w:pPr>
      <w:r>
        <w:rPr>
          <w:rFonts w:ascii="Times New Roman" w:cs="Times New Roman" w:eastAsia="宋体" w:hAnsi="Times New Roman"/>
          <w:sz w:val="24"/>
          <w:szCs w:val="24"/>
        </w:rPr>
        <w:t xml:space="preserve">但三者也可能相互分离，而这种分离恰恰构成有价值的观察对象，两种典型的分离情形如图2-6所示。第一种是觉察而不验证，即设计者清楚知晓自己正在依赖工具，却因工期压力或核验成本过高而放弃核验。这种情形表明问题不在意识而在条件，其对策应当指向流程与制度而非个体提醒。第二种是验证而无主张，即设计者认真核验了每一项参数与每一处技术细节，却对方案的审美取向与意义指向全无立场，其验证止于技术性的正确而不及价值性的判断。这种情形在工程导向的设计团队中尤为常见，也最容易被误认作专业素养良好。以上情形均表明，三个维度须分别测量，不宜合成为单一的综合分数，因为合成将恰好抹去最具诊断价值的信息。</w:t>
      </w:r>
    </w:p>
    <w:p>
      <w:pPr>
        <w:spacing w:after="120" w:before="120" w:line="400" w:lineRule="auto"/>
        <w:jc w:val="center"/>
      </w:pPr>
      <w:r>
        <w:rPr>
          <w:rFonts w:ascii="Times New Roman" w:cs="Times New Roman" w:eastAsia="宋体" w:hAnsi="Times New Roman"/>
          <w:color w:val="808080"/>
          <w:sz w:val="24"/>
          <w:szCs w:val="24"/>
        </w:rPr>
        <w:t xml:space="preserve">［此处插入图2-6］</w:t>
      </w:r>
    </w:p>
    <w:p>
      <w:pPr>
        <w:spacing w:after="0" w:before="0" w:line="300" w:lineRule="auto"/>
        <w:jc w:val="center"/>
      </w:pPr>
      <w:r>
        <w:rPr>
          <w:rFonts w:ascii="Times New Roman" w:cs="Times New Roman" w:eastAsia="宋体" w:hAnsi="Times New Roman"/>
          <w:sz w:val="18"/>
          <w:szCs w:val="18"/>
        </w:rPr>
        <w:t xml:space="preserve">图2-6 认知韧性三个维度的递进关系及两种分离情形</w:t>
      </w:r>
    </w:p>
    <w:p>
      <w:pPr>
        <w:spacing w:after="0" w:before="0" w:line="300" w:lineRule="auto"/>
        <w:jc w:val="center"/>
      </w:pPr>
      <w:r>
        <w:rPr>
          <w:rFonts w:ascii="Times New Roman" w:cs="Times New Roman" w:eastAsia="宋体" w:hAnsi="Times New Roman"/>
          <w:sz w:val="18"/>
          <w:szCs w:val="18"/>
        </w:rPr>
        <w:t xml:space="preserve">The Progressive Relationship among the Three Dimensions of Cognitive Resilience and Two Types of Dissociation</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2.5.4　与相邻概念的最终辨析</w:t>
      </w:r>
    </w:p>
    <w:p>
      <w:pPr>
        <w:spacing w:after="60" w:before="0" w:line="400" w:lineRule="auto"/>
        <w:ind w:firstLine="480"/>
        <w:jc w:val="both"/>
      </w:pPr>
      <w:r>
        <w:rPr>
          <w:rFonts w:ascii="Times New Roman" w:cs="Times New Roman" w:eastAsia="宋体" w:hAnsi="Times New Roman"/>
          <w:sz w:val="24"/>
          <w:szCs w:val="24"/>
        </w:rPr>
        <w:t xml:space="preserve">为避免概念泛化，此处再作四组辨析，与第1章所作的三组区分共同构成本书的概念边界，具体如表2-9所示。</w:t>
      </w:r>
    </w:p>
    <w:p>
      <w:pPr>
        <w:spacing w:after="60" w:before="0" w:line="400" w:lineRule="auto"/>
        <w:ind w:firstLine="480"/>
        <w:jc w:val="both"/>
      </w:pPr>
      <w:r>
        <w:rPr>
          <w:rFonts w:ascii="Times New Roman" w:cs="Times New Roman" w:eastAsia="宋体" w:hAnsi="Times New Roman"/>
          <w:sz w:val="24"/>
          <w:szCs w:val="24"/>
        </w:rPr>
        <w:t xml:space="preserve">第一，与人工智能素养（AI literacy）的区别。素养所关注的是会不会用，包括对工具能力与限度的了解、提示技巧的掌握与生成内容的甄别等；认知韧性所关注的则是用了之后还剩下什么。二者的评价方向恰好相反：素养的提升以更有效地使用工具为标志，韧性的维系则以不因使用而丧失自身能力为标志。因此，一位素养极高的使用者完全可能同时是一位韧性极低的设计者，这种情形非但不矛盾，而且可能相当普遍。</w:t>
      </w:r>
    </w:p>
    <w:p>
      <w:pPr>
        <w:spacing w:after="60" w:before="0" w:line="400" w:lineRule="auto"/>
        <w:ind w:firstLine="480"/>
        <w:jc w:val="both"/>
      </w:pPr>
      <w:r>
        <w:rPr>
          <w:rFonts w:ascii="Times New Roman" w:cs="Times New Roman" w:eastAsia="宋体" w:hAnsi="Times New Roman"/>
          <w:sz w:val="24"/>
          <w:szCs w:val="24"/>
        </w:rPr>
        <w:t xml:space="preserve">第二，与批判性思维（critical thinking）的区别。批判性思维是一般性的、跨领域的思维品质；认知韧性则是特定条件下的、领域内的、行为性的能力状态。一位在学理讨论中极具批判精神的设计者，在具体项目的时间压力之下未必表现出相应的验证行为。因此，本书以行为指征而非以思维倾向界定韧性。</w:t>
      </w:r>
    </w:p>
    <w:p>
      <w:pPr>
        <w:spacing w:after="60" w:before="0" w:line="400" w:lineRule="auto"/>
        <w:ind w:firstLine="480"/>
        <w:jc w:val="both"/>
      </w:pPr>
      <w:r>
        <w:rPr>
          <w:rFonts w:ascii="Times New Roman" w:cs="Times New Roman" w:eastAsia="宋体" w:hAnsi="Times New Roman"/>
          <w:sz w:val="24"/>
          <w:szCs w:val="24"/>
        </w:rPr>
        <w:t xml:space="preserve">第三，与设计自主性的区别。自主性多在价值层面被主张，是关于设计者应当处于何种地位的规范性命题；认知韧性则是描述性的能力状态，可被观测、可被测量、可有程度之分。二者相互支持而不可相互替代：缺乏韧性的自主性只是空洞的宣称，而缺乏自主性主张的韧性则不知为何而维持。</w:t>
      </w:r>
    </w:p>
    <w:p>
      <w:pPr>
        <w:spacing w:after="60" w:before="0" w:line="400" w:lineRule="auto"/>
        <w:ind w:firstLine="480"/>
        <w:jc w:val="both"/>
      </w:pPr>
      <w:r>
        <w:rPr>
          <w:rFonts w:ascii="Times New Roman" w:cs="Times New Roman" w:eastAsia="宋体" w:hAnsi="Times New Roman"/>
          <w:sz w:val="24"/>
          <w:szCs w:val="24"/>
        </w:rPr>
        <w:t xml:space="preserve">第四，与人机信任（human-automation trust）的区别。信任研究关注使用者对系统可靠性的主观评估及其校准，其理想状态是信任水平与系统实际可靠性相匹配；认知韧性则关注使用者自身能力的存续，与系统是否可靠无关。即便面对一个完全可靠的系统，长期的判断卸载依然会导致能力退化。这一区别尤须强调，因为它表明本书所论问题不能通过提升模型性能而获得解决，即模型愈可靠，使用者愈无核验的必要，能力的退化反而愈快。</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表2-9 认知韧性与四组相邻概念的辨析</w:t>
      </w:r>
    </w:p>
    <w:p>
      <w:pPr>
        <w:spacing w:after="0" w:before="0" w:line="300" w:lineRule="auto"/>
        <w:jc w:val="center"/>
      </w:pPr>
      <w:r>
        <w:rPr>
          <w:rFonts w:ascii="Times New Roman" w:cs="Times New Roman" w:eastAsia="宋体" w:hAnsi="Times New Roman"/>
          <w:sz w:val="18"/>
          <w:szCs w:val="18"/>
        </w:rPr>
        <w:t xml:space="preserve">Distinctions between Cognitive Resilience and Four Adjacent Concepts</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相邻概念</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该概念的关注点</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认知韧性的关注点</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二者的关键分野</w:t>
            </w:r>
          </w:p>
        </w:tc>
      </w:tr>
      <w:tr>
        <w:trPr>
          <w:tblHeader w:val="false"/>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人工智能素养</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会不会用工具</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用了之后还剩下什么</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评价方向相反：素养以更有效使用为标志，韧性以不丧失自身能力为标志</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批判性思维</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一般性、跨领域的思维品质</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特定条件下、领域内的行为性能力状态</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韧性以行为指征界定，而非以思维倾向界定</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设计自主性</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设计者应当处于何种地位（规范性）</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设计者实际处于何种状态（描述性）</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相互支持而不可相互替代</w:t>
            </w:r>
          </w:p>
        </w:tc>
      </w:tr>
      <w:tr>
        <w:trPr>
          <w:tblHeader w:val="false"/>
        </w:trPr>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人机信任</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对系统可靠性的主观评估及其校准</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使用者自身能力的存续</w:t>
            </w:r>
          </w:p>
        </w:tc>
        <w:tc>
          <w:tcPr>
            <w:tcW w:type="dxa" w:w="225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与系统是否可靠无关；模型愈可靠，退化反而愈快</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2.5.5　界定的局限与测量的困难</w:t>
      </w:r>
    </w:p>
    <w:p>
      <w:pPr>
        <w:spacing w:after="60" w:before="0" w:line="400" w:lineRule="auto"/>
        <w:ind w:firstLine="480"/>
        <w:jc w:val="both"/>
      </w:pPr>
      <w:r>
        <w:rPr>
          <w:rFonts w:ascii="Times New Roman" w:cs="Times New Roman" w:eastAsia="宋体" w:hAnsi="Times New Roman"/>
          <w:sz w:val="24"/>
          <w:szCs w:val="24"/>
        </w:rPr>
        <w:t xml:space="preserve">以上三维界定虽然已经给出可观测的行为指征，但其实际测量仍然面临三重困难，须予坦陈。</w:t>
      </w:r>
    </w:p>
    <w:p>
      <w:pPr>
        <w:spacing w:after="60" w:before="0" w:line="400" w:lineRule="auto"/>
        <w:ind w:firstLine="480"/>
        <w:jc w:val="both"/>
      </w:pPr>
      <w:r>
        <w:rPr>
          <w:rFonts w:ascii="Times New Roman" w:cs="Times New Roman" w:eastAsia="宋体" w:hAnsi="Times New Roman"/>
          <w:sz w:val="24"/>
          <w:szCs w:val="24"/>
        </w:rPr>
        <w:t xml:space="preserve">第一，基线的缺失。判断能力的退化只能相对于个体此前的水平而言，而绝大多数设计者并无关于自身此前水平的可靠记录。缺乏基线，则任何一次测量所得到的均只是当下状态，而非变化。这一困难在横断面的研究设计中尤为突出。</w:t>
      </w:r>
    </w:p>
    <w:p>
      <w:pPr>
        <w:spacing w:after="60" w:before="0" w:line="400" w:lineRule="auto"/>
        <w:ind w:firstLine="480"/>
        <w:jc w:val="both"/>
      </w:pPr>
      <w:r>
        <w:rPr>
          <w:rFonts w:ascii="Times New Roman" w:cs="Times New Roman" w:eastAsia="宋体" w:hAnsi="Times New Roman"/>
          <w:sz w:val="24"/>
          <w:szCs w:val="24"/>
        </w:rPr>
        <w:t xml:space="preserve">第二，情境的混淆。验证行为的减少可以有多种解释：可能源于判断能力的退化，可能源于任务熟悉度的提高而无须逐项核验，也可能源于工具确实变得更为可靠而使核验的必要性下降。以上三者在行为表现上高度相似，仅凭行为指征难以区分，须结合任务难度、工具版本与个体经验等信息才能作出判别。</w:t>
      </w:r>
    </w:p>
    <w:p>
      <w:pPr>
        <w:spacing w:after="60" w:before="0" w:line="400" w:lineRule="auto"/>
        <w:ind w:firstLine="480"/>
        <w:jc w:val="both"/>
      </w:pPr>
      <w:r>
        <w:rPr>
          <w:rFonts w:ascii="Times New Roman" w:cs="Times New Roman" w:eastAsia="宋体" w:hAnsi="Times New Roman"/>
          <w:sz w:val="24"/>
          <w:szCs w:val="24"/>
        </w:rPr>
        <w:t xml:space="preserve">第三，自陈的失真，且这一困难在方法论上构成一个循环。元认知监控的测量在很大程度上依赖使用者的自我报告，而元认知监控本身若已受损，其自我报告便不再可靠，即一个已丧失觉察能力的个体恰恰无从觉察自己丧失了觉察能力。因此，这一维度不宜单独依赖自陈量表，须辅以行为痕迹与事后追问等他证手段。</w:t>
      </w:r>
    </w:p>
    <w:p>
      <w:pPr>
        <w:spacing w:after="60" w:before="0" w:line="400" w:lineRule="auto"/>
        <w:ind w:firstLine="480"/>
        <w:jc w:val="both"/>
      </w:pPr>
      <w:r>
        <w:rPr>
          <w:rFonts w:ascii="Times New Roman" w:cs="Times New Roman" w:eastAsia="宋体" w:hAnsi="Times New Roman"/>
          <w:sz w:val="24"/>
          <w:szCs w:val="24"/>
        </w:rPr>
        <w:t xml:space="preserve">以上三项困难本书未能予以解决，也不宜佯装解决。其直接后果是：第5章所构建的衰减机制模型具有推论的性质，其中若干环节有待专门设计的实证研究予以检验。本书在该章末尾列出可检验推论，并在结论部分再次交代这一局限，正是出于以上考虑。</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2.6　本章小结</w:t>
      </w:r>
    </w:p>
    <w:p>
      <w:pPr>
        <w:spacing w:after="60" w:before="0" w:line="400" w:lineRule="auto"/>
        <w:ind w:firstLine="480"/>
        <w:jc w:val="both"/>
      </w:pPr>
      <w:r>
        <w:rPr>
          <w:rFonts w:ascii="Times New Roman" w:cs="Times New Roman" w:eastAsia="宋体" w:hAnsi="Times New Roman"/>
          <w:sz w:val="24"/>
          <w:szCs w:val="24"/>
        </w:rPr>
        <w:t xml:space="preserve">本章从四条理论脉络出发，确立了本书的概念工具。首先，以元认知与认知卸载研究说明外部化的机理，并辨明判断卸载不可回取这一关键性质；其次，以自动化研究说明能力因闲置而退化的规律，并指出设计领域因反馈模糊而更难察觉退化；再次，以缄默知识理论说明何种能力最易流失，并推出卸载代价的阶段依赖性；最后，以韧性理论提供描述框架，并通过三处差异的辨析确立了认知韧性的可设计性。在此基础之上，本章将认知韧性界定为元认知监控、自主验证行为与创作能动性三个维度，并给出了各自的可观测指征与相互关系。</w:t>
      </w:r>
    </w:p>
    <w:p>
      <w:pPr>
        <w:spacing w:after="60" w:before="0" w:line="400" w:lineRule="auto"/>
        <w:ind w:firstLine="480"/>
        <w:jc w:val="both"/>
      </w:pPr>
      <w:r>
        <w:rPr>
          <w:rFonts w:ascii="Times New Roman" w:cs="Times New Roman" w:eastAsia="宋体" w:hAnsi="Times New Roman"/>
          <w:sz w:val="24"/>
          <w:szCs w:val="24"/>
        </w:rPr>
        <w:t xml:space="preserve">但仍有一个问题尚未回答。以上讨论均立足于设计者个体的能力状态，其所论证的是设计者会因持续卸载而丧失判断能力。然而，这何以构成设计学这门学科的问题，而不仅仅是从业者的职业困扰或教育者的教学难题？换言之，个体判断力的衰减与学科自身的存续之间是否存在必然的关联？这一问题无法在概念层面获得回答，须从设计学的知识形态入手才能廓清。本书将在第3章中处理这一问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2026-08-30T09:49:10.445Z</dcterms:created>
  <dcterms:modified xsi:type="dcterms:W3CDTF">2026-08-30T09:49:10.445Z</dcterms:modified>
</cp:coreProperties>
</file>

<file path=docProps/custom.xml><?xml version="1.0" encoding="utf-8"?>
<Properties xmlns="http://schemas.openxmlformats.org/officeDocument/2006/custom-properties" xmlns:vt="http://schemas.openxmlformats.org/officeDocument/2006/docPropsVTypes"/>
</file>