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黑体" w:hAnsi="Times New Roman"/>
          <w:b w:val="false"/>
          <w:bCs w:val="false"/>
          <w:sz w:val="32"/>
          <w:szCs w:val="32"/>
        </w:rPr>
        <w:t xml:space="preserve">第3章　配图设计稿、尾注清单与修订说明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配套《第3章-知识形态与范式转型命题-润色稿》使用。本清单取代此前为《第3章-学理命题-初稿》所出的同名文件。</w:t>
      </w:r>
    </w:p>
    <w:p>
      <w:pPr>
        <w:pStyle w:val="Heading2"/>
        <w:spacing w:after="220" w:before="400" w:line="360" w:lineRule="auto"/>
        <w:jc w:val="left"/>
      </w:pPr>
      <w:r>
        <w:rPr>
          <w:rFonts w:ascii="Times New Roman" w:cs="Times New Roman" w:eastAsia="黑体" w:hAnsi="Times New Roman"/>
          <w:b w:val="false"/>
          <w:bCs w:val="false"/>
          <w:sz w:val="28"/>
          <w:szCs w:val="28"/>
        </w:rPr>
        <w:t xml:space="preserve">一、配图设计稿（5 幅）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图题一律置于图下，三行：中文题 / 英文题（Title Case）/（图片来源：作者自绘）。以下为绘制依据，画好后按正文中「［此处插入图3-X］」的位置替换即可。</w:t>
      </w:r>
    </w:p>
    <w:p>
      <w:pPr>
        <w:pStyle w:val="Heading3"/>
        <w:spacing w:after="160" w:before="240" w:line="360" w:lineRule="auto"/>
        <w:jc w:val="left"/>
      </w:pPr>
      <w:r>
        <w:rPr>
          <w:rFonts w:ascii="Times New Roman" w:cs="Times New Roman" w:eastAsia="黑体" w:hAnsi="Times New Roman"/>
          <w:b/>
          <w:bCs/>
          <w:sz w:val="24"/>
          <w:szCs w:val="24"/>
        </w:rPr>
        <w:t xml:space="preserve">图3-1　两类知识的载体与再生产方式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位置</w:t>
      </w:r>
      <w:r>
        <w:rPr>
          <w:rFonts w:ascii="Times New Roman" w:cs="Times New Roman" w:eastAsia="宋体" w:hAnsi="Times New Roman"/>
          <w:sz w:val="24"/>
          <w:szCs w:val="24"/>
        </w:rPr>
        <w:t xml:space="preserve">：3.1.3 节，表3-3 之后。</w:t>
      </w: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类型</w:t>
      </w:r>
      <w:r>
        <w:rPr>
          <w:rFonts w:ascii="Times New Roman" w:cs="Times New Roman" w:eastAsia="宋体" w:hAnsi="Times New Roman"/>
          <w:sz w:val="24"/>
          <w:szCs w:val="24"/>
        </w:rPr>
        <w:t xml:space="preserve">：左右对照图。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结构</w:t>
      </w:r>
      <w:r>
        <w:rPr>
          <w:rFonts w:ascii="Times New Roman" w:cs="Times New Roman" w:eastAsia="宋体" w:hAnsi="Times New Roman"/>
          <w:sz w:val="24"/>
          <w:szCs w:val="24"/>
        </w:rPr>
        <w:t xml:space="preserve">：左右两栏，左栏「命题性知识」，右栏「设计学知识」。左栏画一条自上而下的链：认知者 → 写入文本 → 文本独立存在（画一个实心的书籍或数据库符号）→ 后人阅读 → 重新获得。链条中部标出一处断口，注明「认知者更替」，并以一支跨过断口的箭头显示知识仍然贯通，旁注「人的更替不影响知识本身的存在」。右栏画同样一条链：实践着的个体 → 部分写入文本（原则、案例、规范）→ 文本存在，但只是可言说的那一部分；同时自个体引出第二支线：分寸把握、情境识别、价值权衡 → 无处存放。同样在链条中部标出「实践中断」的断口，但这一断口不设跨越箭头，而在其下标注「随实践的中断而消散」。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两栏底部各加一条注记条，写明其再生产的主要机制：左「文本的阅读与讲授」、右「实践、示范、评议与反复的试错」。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要点</w:t>
      </w:r>
      <w:r>
        <w:rPr>
          <w:rFonts w:ascii="Times New Roman" w:cs="Times New Roman" w:eastAsia="宋体" w:hAnsi="Times New Roman"/>
          <w:sz w:val="24"/>
          <w:szCs w:val="24"/>
        </w:rPr>
        <w:t xml:space="preserve">：全图的落点是两处断口的处置不同——左栏的断口可被跨越，右栏的不能。这一视觉差别必须做足，是本章立论的图示。右栏的两支线（可言说的部分 / 无处存放的部分）须以不同线型区分，前者实线通向文本，后者虚线终止于空白。</w:t>
      </w:r>
    </w:p>
    <w:p>
      <w:pPr>
        <w:pStyle w:val="Heading3"/>
        <w:spacing w:after="160" w:before="240" w:line="360" w:lineRule="auto"/>
        <w:jc w:val="left"/>
      </w:pPr>
      <w:r>
        <w:rPr>
          <w:rFonts w:ascii="Times New Roman" w:cs="Times New Roman" w:eastAsia="黑体" w:hAnsi="Times New Roman"/>
          <w:b/>
          <w:bCs/>
          <w:sz w:val="24"/>
          <w:szCs w:val="24"/>
        </w:rPr>
        <w:t xml:space="preserve">图3-2　设计学主体条件的维持机制及其受影响的位置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位置</w:t>
      </w:r>
      <w:r>
        <w:rPr>
          <w:rFonts w:ascii="Times New Roman" w:cs="Times New Roman" w:eastAsia="宋体" w:hAnsi="Times New Roman"/>
          <w:sz w:val="24"/>
          <w:szCs w:val="24"/>
        </w:rPr>
        <w:t xml:space="preserve">：3.2.2 节末，表3-4 之后。</w:t>
      </w: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类型</w:t>
      </w:r>
      <w:r>
        <w:rPr>
          <w:rFonts w:ascii="Times New Roman" w:cs="Times New Roman" w:eastAsia="宋体" w:hAnsi="Times New Roman"/>
          <w:sz w:val="24"/>
          <w:szCs w:val="24"/>
        </w:rPr>
        <w:t xml:space="preserve">：三层同心或三层堆叠图，带侵蚀标注。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结构</w:t>
      </w:r>
      <w:r>
        <w:rPr>
          <w:rFonts w:ascii="Times New Roman" w:cs="Times New Roman" w:eastAsia="宋体" w:hAnsi="Times New Roman"/>
          <w:sz w:val="24"/>
          <w:szCs w:val="24"/>
        </w:rPr>
        <w:t xml:space="preserve">：三层自内向外（或自下而上）依次为教育层面、职业层面、行业层面，各层内写其具体机制：教育层面「工作室制、师徒相授、长时段方案推敲与作品评议」，职业层面「由助理至主创的漫长晋阶、方案评审与项目复盘」，行业层面「作品公开展示、同行评议与批评」。三层共同环绕（或共同支撑）中心的一个方框：「主体条件：存在能作出成熟专业判断的设计者，且可被持续培育」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每一层的外缘各引出一条旁注，写明该层不可替代的环节与受影响的方式：教育层面「亲历试错 → 被系统性跳过」、职业层面「制度性追问所要求的当面回答 → 失去实质对象」、行业层面「以外部参照校正内在尺度 → 标准来源转向模型的默认分布」。三条旁注均以同一种侵蚀符号（如虚化的箭头或网点）指向对应层面。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要点</w:t>
      </w:r>
      <w:r>
        <w:rPr>
          <w:rFonts w:ascii="Times New Roman" w:cs="Times New Roman" w:eastAsia="宋体" w:hAnsi="Times New Roman"/>
          <w:sz w:val="24"/>
          <w:szCs w:val="24"/>
        </w:rPr>
        <w:t xml:space="preserve">：三层必须共同支撑同一个中心，以显示主体条件由三者合力维持而非由某一层单独维持；三处侵蚀符号形式统一，以显示这是同一变化在三个层面的表现。</w:t>
      </w:r>
    </w:p>
    <w:p>
      <w:pPr>
        <w:pStyle w:val="Heading3"/>
        <w:spacing w:after="160" w:before="240" w:line="360" w:lineRule="auto"/>
        <w:jc w:val="left"/>
      </w:pPr>
      <w:r>
        <w:rPr>
          <w:rFonts w:ascii="Times New Roman" w:cs="Times New Roman" w:eastAsia="黑体" w:hAnsi="Times New Roman"/>
          <w:b/>
          <w:bCs/>
          <w:sz w:val="24"/>
          <w:szCs w:val="24"/>
        </w:rPr>
        <w:t xml:space="preserve">图3-3　判断力形成路径的完好与断裂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位置</w:t>
      </w:r>
      <w:r>
        <w:rPr>
          <w:rFonts w:ascii="Times New Roman" w:cs="Times New Roman" w:eastAsia="宋体" w:hAnsi="Times New Roman"/>
          <w:sz w:val="24"/>
          <w:szCs w:val="24"/>
        </w:rPr>
        <w:t xml:space="preserve">：3.2.4 节，表3-5 之后。</w:t>
      </w: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类型</w:t>
      </w:r>
      <w:r>
        <w:rPr>
          <w:rFonts w:ascii="Times New Roman" w:cs="Times New Roman" w:eastAsia="宋体" w:hAnsi="Times New Roman"/>
          <w:sz w:val="24"/>
          <w:szCs w:val="24"/>
        </w:rPr>
        <w:t xml:space="preserve">：上下两轨对照图。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结构</w:t>
      </w:r>
      <w:r>
        <w:rPr>
          <w:rFonts w:ascii="Times New Roman" w:cs="Times New Roman" w:eastAsia="宋体" w:hAnsi="Times New Roman"/>
          <w:sz w:val="24"/>
          <w:szCs w:val="24"/>
        </w:rPr>
        <w:t xml:space="preserve">：上轨为「计算机辅助绘图与参数化工具」：形成意图 → 表达为图纸或规则 → 在众多可能中作出取舍 → 亲历试错 → 内化为情境性直觉 → 回指起点。整条轨道连续无断口，并在「表达为规则」一步旁加一个正向标记，注明「参数化工具以意图必须完整表达为要求，反而强化了对判断依据的澄清」。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下轨为「生成式人工智能」：同一条轨道，但在三处标出断口，各自对应正文的三项依据：断口一在「形成意图」与「表达」之间，注「判断时序颠倒：模型先给出既成选项，自己作出取舍的步骤不再发生」；断口二在「表达为规则」处，注「意图完整表达的要求被取消，澄清判断依据的机会一并取消」；断口三在「亲历试错」处，注「合意困难被消除，以低效形式存在的锻炼环节被压缩」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两轨之间以一条竖向对照线相连，标注「所改变的对象：表达的手段 ／ 判断的形成路径」。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要点</w:t>
      </w:r>
      <w:r>
        <w:rPr>
          <w:rFonts w:ascii="Times New Roman" w:cs="Times New Roman" w:eastAsia="宋体" w:hAnsi="Times New Roman"/>
          <w:sz w:val="24"/>
          <w:szCs w:val="24"/>
        </w:rPr>
        <w:t xml:space="preserve">：两轨必须版式完全一致、可上下对读，差别只在断口的有无；上轨那个正向标记不可省略，它是本书区别于一般技术悲观论的证据。</w:t>
      </w:r>
    </w:p>
    <w:p>
      <w:pPr>
        <w:pStyle w:val="Heading3"/>
        <w:spacing w:after="160" w:before="240" w:line="360" w:lineRule="auto"/>
        <w:jc w:val="left"/>
      </w:pPr>
      <w:r>
        <w:rPr>
          <w:rFonts w:ascii="Times New Roman" w:cs="Times New Roman" w:eastAsia="黑体" w:hAnsi="Times New Roman"/>
          <w:b/>
          <w:bCs/>
          <w:sz w:val="24"/>
          <w:szCs w:val="24"/>
        </w:rPr>
        <w:t xml:space="preserve">图3-4　结构完好的空心化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位置</w:t>
      </w:r>
      <w:r>
        <w:rPr>
          <w:rFonts w:ascii="Times New Roman" w:cs="Times New Roman" w:eastAsia="宋体" w:hAnsi="Times New Roman"/>
          <w:sz w:val="24"/>
          <w:szCs w:val="24"/>
        </w:rPr>
        <w:t xml:space="preserve">：3.2.5 节末。</w:t>
      </w: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类型</w:t>
      </w:r>
      <w:r>
        <w:rPr>
          <w:rFonts w:ascii="Times New Roman" w:cs="Times New Roman" w:eastAsia="宋体" w:hAnsi="Times New Roman"/>
          <w:sz w:val="24"/>
          <w:szCs w:val="24"/>
        </w:rPr>
        <w:t xml:space="preserve">：剖面对照图。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结构</w:t>
      </w:r>
      <w:r>
        <w:rPr>
          <w:rFonts w:ascii="Times New Roman" w:cs="Times New Roman" w:eastAsia="宋体" w:hAnsi="Times New Roman"/>
          <w:sz w:val="24"/>
          <w:szCs w:val="24"/>
        </w:rPr>
        <w:t xml:space="preserve">：画一个建筑剖面式的结构：外框、梁柱、楼层、门窗俱全，各构件分别标注「文献」「理论体系」「教育建制」「课程」「评审」「招生规模」，全部以完整的实线绘制，无一处破损。而结构内部的核心区域画成空白（或网点填充），标注「判断能力」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结构外侧竖排一列仪表符号，分别标注「发表数量」「就业率」「竞赛获奖」「项目产值」，每个仪表的指针均指向正常或偏高的位置，旁注一行：「所测量的均是产出，而非产出所依赖的能力」。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图下方加一行结论注记：「命题仍在，判断已失；形式仍在，实质已空。此种衰亡不产生任何预警信号。」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要点</w:t>
      </w:r>
      <w:r>
        <w:rPr>
          <w:rFonts w:ascii="Times New Roman" w:cs="Times New Roman" w:eastAsia="宋体" w:hAnsi="Times New Roman"/>
          <w:sz w:val="24"/>
          <w:szCs w:val="24"/>
        </w:rPr>
        <w:t xml:space="preserve">：外框与构件必须画得完整、结实、毫无破损，与内部的空白形成强烈反差——若外框画成残破，全图的含义即被破坏。仪表指针一律指向正常，这是「不产生预警信号」的图示，不可画成报警状态。</w:t>
      </w:r>
    </w:p>
    <w:p>
      <w:pPr>
        <w:pStyle w:val="Heading3"/>
        <w:spacing w:after="160" w:before="240" w:line="360" w:lineRule="auto"/>
        <w:jc w:val="left"/>
      </w:pPr>
      <w:r>
        <w:rPr>
          <w:rFonts w:ascii="Times New Roman" w:cs="Times New Roman" w:eastAsia="黑体" w:hAnsi="Times New Roman"/>
          <w:b/>
          <w:bCs/>
          <w:sz w:val="24"/>
          <w:szCs w:val="24"/>
        </w:rPr>
        <w:t xml:space="preserve">图3-5　三种范式转型论说的解释范围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位置</w:t>
      </w:r>
      <w:r>
        <w:rPr>
          <w:rFonts w:ascii="Times New Roman" w:cs="Times New Roman" w:eastAsia="宋体" w:hAnsi="Times New Roman"/>
          <w:sz w:val="24"/>
          <w:szCs w:val="24"/>
        </w:rPr>
        <w:t xml:space="preserve">：3.3.4 节，表3-6 之后。</w:t>
      </w: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类型</w:t>
      </w:r>
      <w:r>
        <w:rPr>
          <w:rFonts w:ascii="Times New Roman" w:cs="Times New Roman" w:eastAsia="宋体" w:hAnsi="Times New Roman"/>
          <w:sz w:val="24"/>
          <w:szCs w:val="24"/>
        </w:rPr>
        <w:t xml:space="preserve">：同心包含图。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结构</w:t>
      </w:r>
      <w:r>
        <w:rPr>
          <w:rFonts w:ascii="Times New Roman" w:cs="Times New Roman" w:eastAsia="宋体" w:hAnsi="Times New Roman"/>
          <w:sz w:val="24"/>
          <w:szCs w:val="24"/>
        </w:rPr>
        <w:t xml:space="preserve">：三个同心区域，自外向内依次为「设计研究的方法」「设计者用什么工作」「判断力的形成与维持路径」，三个区域各引一条指示线至右侧标签：方法转型说、工具转型说、主体条件转型说（本书）。最内层加重描边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图的下方另设一条横向的判别标尺，左端「未触及判断力的形成路径」，右端「触及判断力的形成路径」；在标尺上标出三个位置：计算机辅助绘图、参数化工具（二者均落在左端）与生成式人工智能（落在右端），并在标尺中部画一条分界线，注明「范式意义上的转型与否，以此为界」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要点</w:t>
      </w:r>
      <w:r>
        <w:rPr>
          <w:rFonts w:ascii="Times New Roman" w:cs="Times New Roman" w:eastAsia="宋体" w:hAnsi="Times New Roman"/>
          <w:sz w:val="24"/>
          <w:szCs w:val="24"/>
        </w:rPr>
        <w:t xml:space="preserve">：同心而非并列，以显示前两说所描述的现象均可被纳入本说之下；下方的判别标尺是本说区分力的图示，不可省略，它同时解释了此前何以未变与此次何以有变。</w:t>
      </w:r>
    </w:p>
    <w:p>
      <w:pPr>
        <w:pStyle w:val="Heading2"/>
        <w:spacing w:after="220" w:before="400" w:line="360" w:lineRule="auto"/>
        <w:jc w:val="left"/>
      </w:pPr>
      <w:r>
        <w:rPr>
          <w:rFonts w:ascii="Times New Roman" w:cs="Times New Roman" w:eastAsia="黑体" w:hAnsi="Times New Roman"/>
          <w:b w:val="false"/>
          <w:bCs w:val="false"/>
          <w:sz w:val="28"/>
          <w:szCs w:val="28"/>
        </w:rPr>
        <w:t xml:space="preserve">二、尾注清单（6 条，含 3 处待补）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正文已改为句末尾注上标。以下为各上标对应的文献，请按 GB/T 7714 补足页码与出版信息后，并入书末「参考文献」的对应分区。以上条目为按正文论断的通行出处所拟，请逐条核对原文并补足页码，凡未经本人核实者不宜直接采用。</w:t>
      </w:r>
    </w:p>
    <w:p>
      <w:pPr>
        <w:spacing w:line="200" w:lineRule="auto"/>
      </w:pPr>
      <w:r>
        <w:rPr>
          <w:sz w:val="18"/>
          <w:szCs w:val="18"/>
        </w:rPr>
        <w:t xml:space="preserve"/>
      </w:r>
    </w:p>
    <w:p>
      <w:pPr>
        <w:spacing w:after="0" w:before="0" w:line="300" w:lineRule="auto"/>
        <w:jc w:val="center"/>
      </w:pPr>
      <w:r>
        <w:rPr>
          <w:rFonts w:ascii="Times New Roman" w:cs="Times New Roman" w:eastAsia="宋体" w:hAnsi="Times New Roman"/>
          <w:sz w:val="18"/>
          <w:szCs w:val="18"/>
        </w:rPr>
        <w:t xml:space="preserve">表 A 第3章尾注对应文献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序号</w:t>
            </w:r>
          </w:p>
        </w:tc>
        <w:tc>
          <w:tcPr>
            <w:tcW w:type="dxa" w:w="3008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出现位置</w:t>
            </w:r>
          </w:p>
        </w:tc>
        <w:tc>
          <w:tcPr>
            <w:tcW w:type="dxa" w:w="3010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对应文献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[1]</w:t>
            </w:r>
          </w:p>
        </w:tc>
        <w:tc>
          <w:tcPr>
            <w:tcW w:type="dxa" w:w="3008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3.1.1</w:t>
            </w:r>
          </w:p>
        </w:tc>
        <w:tc>
          <w:tcPr>
            <w:tcW w:type="dxa" w:w="3010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Simon H A. The Sciences of the Artificial[M]. Cambridge: MIT Press, 1969. 中译本可采用武夷山译《人工科学》，商务印书馆，请与所引版本统一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[2]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3.1.1</w:t>
            </w:r>
          </w:p>
        </w:tc>
        <w:tc>
          <w:tcPr>
            <w:tcW w:type="dxa" w:w="3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Rittel H W J, Webber M M. Dilemmas in a General Theory of Planning[J]. Policy Sciences, 1973, 4(2): 155-169.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[3]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3.1.1</w:t>
            </w:r>
          </w:p>
        </w:tc>
        <w:tc>
          <w:tcPr>
            <w:tcW w:type="dxa" w:w="3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Buchanan R. Wicked Problems in Design Thinking[J]. Design Issues, 1992, 8(2): 5-21.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[4]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3.1.1</w:t>
            </w:r>
          </w:p>
        </w:tc>
        <w:tc>
          <w:tcPr>
            <w:tcW w:type="dxa" w:w="3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Schön D A. The Reflective Practitioner: How Professionals Think in Action[M]. New York: Basic Books, 1983. 与第2章尾注同源，正文中已作交叉引称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[5]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3.1.2</w:t>
            </w:r>
          </w:p>
        </w:tc>
        <w:tc>
          <w:tcPr>
            <w:tcW w:type="dxa" w:w="3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Nelson H G, Stolterman E. The Design Way: Intentional Change in an Unpredictable World[M]. Englewood Cliffs: Educational Technology Publications, 2003. 第二版为 Cambridge: MIT Press, 2012，请择一并统一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[6]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3.3.1</w:t>
            </w:r>
          </w:p>
        </w:tc>
        <w:tc>
          <w:tcPr>
            <w:tcW w:type="dxa" w:w="301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Kuhn T S. The Structure of Scientific Revolutions[M]. Chicago: University of Chicago Press, 1962. 中译本可采用金吾伦、胡新和译《科学革命的结构》，北京大学出版社</w:t>
            </w:r>
          </w:p>
        </w:tc>
      </w:tr>
    </w:tbl>
    <w:p>
      <w:pPr>
        <w:spacing w:line="200" w:lineRule="auto"/>
      </w:pPr>
      <w:r>
        <w:rPr>
          <w:sz w:val="18"/>
          <w:szCs w:val="18"/>
        </w:rPr>
        <w:t xml:space="preserve"/>
      </w:r>
    </w:p>
    <w:p>
      <w:pPr>
        <w:spacing w:line="200" w:lineRule="auto"/>
      </w:pPr>
      <w:r>
        <w:rPr>
          <w:sz w:val="18"/>
          <w:szCs w:val="18"/>
        </w:rPr>
        <w:t xml:space="preserve"/>
      </w:r>
    </w:p>
    <w:p>
      <w:pPr>
        <w:spacing w:after="0" w:before="0" w:line="300" w:lineRule="auto"/>
        <w:jc w:val="center"/>
      </w:pPr>
      <w:r>
        <w:rPr>
          <w:rFonts w:ascii="Times New Roman" w:cs="Times New Roman" w:eastAsia="宋体" w:hAnsi="Times New Roman"/>
          <w:sz w:val="18"/>
          <w:szCs w:val="18"/>
        </w:rPr>
        <w:t xml:space="preserve">表 B 第3章待补引注（3 处，正文中已以【待补：…】标出，显示为红色）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序号</w:t>
            </w:r>
          </w:p>
        </w:tc>
        <w:tc>
          <w:tcPr>
            <w:tcW w:type="dxa" w:w="2256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位置</w:t>
            </w:r>
          </w:p>
        </w:tc>
        <w:tc>
          <w:tcPr>
            <w:tcW w:type="dxa" w:w="2256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需要补的内容</w:t>
            </w:r>
          </w:p>
        </w:tc>
        <w:tc>
          <w:tcPr>
            <w:tcW w:type="dxa" w:w="2258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建议检索方向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待补 1</w:t>
            </w:r>
          </w:p>
        </w:tc>
        <w:tc>
          <w:tcPr>
            <w:tcW w:type="dxa" w:w="2256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3.2.6 第二段</w:t>
            </w:r>
          </w:p>
        </w:tc>
        <w:tc>
          <w:tcPr>
            <w:tcW w:type="dxa" w:w="2256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传统手工技艺复原研究中关于形似而神不似的具体案例与研究文献</w:t>
            </w:r>
          </w:p>
        </w:tc>
        <w:tc>
          <w:tcPr>
            <w:tcW w:type="dxa" w:w="2258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非物质文化遗产保护领域关于技艺复原与活态传承的研究；具体工艺门类（如漆艺、织造、营造法式）的复原个案报告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待补 2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3.4.4 首段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国内关于设计主体性、意义创造与审美标准变革的代表性文献</w:t>
            </w:r>
          </w:p>
        </w:tc>
        <w:tc>
          <w:tcPr>
            <w:tcW w:type="dxa" w:w="22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正文以「或强调……或关注……」概括了两类主张，须补出具体作者与文献；建议与第1章研究现状节所引者保持一致，避免同一主张在两处以不同方式指称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待补 3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3.5.1 首段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中国哲学社会科学自主知识体系建构的权威论述</w:t>
            </w:r>
          </w:p>
        </w:tc>
        <w:tc>
          <w:tcPr>
            <w:tcW w:type="dxa" w:w="225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相关权威文献与政策论述；另建议补一至两条设计学界关于本学科自主知识体系的专题讨论，以支撑「既有讨论多在三个层面上展开」这一概括</w:t>
            </w:r>
          </w:p>
        </w:tc>
      </w:tr>
    </w:tbl>
    <w:p>
      <w:pPr>
        <w:spacing w:line="200" w:lineRule="auto"/>
      </w:pPr>
      <w:r>
        <w:rPr>
          <w:sz w:val="18"/>
          <w:szCs w:val="18"/>
        </w:rPr>
        <w:t xml:space="preserve"/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另有两处论断目前无引注支撑，本书以自身论证承担，但补入外部依据将增强其学理支撑，列示如下备考。</w:t>
      </w:r>
    </w:p>
    <w:p>
      <w:pPr>
        <w:spacing w:line="200" w:lineRule="auto"/>
      </w:pPr>
      <w:r>
        <w:rPr>
          <w:sz w:val="18"/>
          <w:szCs w:val="18"/>
        </w:rPr>
        <w:t xml:space="preserve"/>
      </w:r>
    </w:p>
    <w:p>
      <w:pPr>
        <w:spacing w:after="0" w:before="0" w:line="300" w:lineRule="auto"/>
        <w:jc w:val="center"/>
      </w:pPr>
      <w:r>
        <w:rPr>
          <w:rFonts w:ascii="Times New Roman" w:cs="Times New Roman" w:eastAsia="宋体" w:hAnsi="Times New Roman"/>
          <w:sz w:val="18"/>
          <w:szCs w:val="18"/>
        </w:rPr>
        <w:t xml:space="preserve">表 C 建议补充外部依据的两处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位置</w:t>
            </w:r>
          </w:p>
        </w:tc>
        <w:tc>
          <w:tcPr>
            <w:tcW w:type="dxa" w:w="3008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现状</w:t>
            </w:r>
          </w:p>
        </w:tc>
        <w:tc>
          <w:tcPr>
            <w:tcW w:type="dxa" w:w="3010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建议补充的方向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3.3.1 「这种借用在设计研究中已有先例」</w:t>
            </w:r>
          </w:p>
        </w:tc>
        <w:tc>
          <w:tcPr>
            <w:tcW w:type="dxa" w:w="3008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未给出先例</w:t>
            </w:r>
          </w:p>
        </w:tc>
        <w:tc>
          <w:tcPr>
            <w:tcW w:type="dxa" w:w="3010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补一至两条设计研究中借用范式概念的既有文献，否则此句为无据之断言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3.5.3 其他学科面临相似处境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由本书类推得出</w:t>
            </w:r>
          </w:p>
        </w:tc>
        <w:tc>
          <w:tcPr>
            <w:tcW w:type="dxa" w:w="301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法学裁量、文学品鉴、史学阐释等领域关于生成式人工智能影响的既有讨论，各补一条即可</w:t>
            </w:r>
          </w:p>
        </w:tc>
      </w:tr>
    </w:tbl>
    <w:p>
      <w:pPr>
        <w:spacing w:line="200" w:lineRule="auto"/>
      </w:pPr>
      <w:r>
        <w:rPr>
          <w:sz w:val="18"/>
          <w:szCs w:val="18"/>
        </w:rPr>
        <w:t xml:space="preserve"/>
      </w:r>
    </w:p>
    <w:p>
      <w:pPr>
        <w:pStyle w:val="Heading2"/>
        <w:spacing w:after="220" w:before="400" w:line="360" w:lineRule="auto"/>
        <w:jc w:val="left"/>
      </w:pPr>
      <w:r>
        <w:rPr>
          <w:rFonts w:ascii="Times New Roman" w:cs="Times New Roman" w:eastAsia="黑体" w:hAnsi="Times New Roman"/>
          <w:b w:val="false"/>
          <w:bCs w:val="false"/>
          <w:sz w:val="28"/>
          <w:szCs w:val="28"/>
        </w:rPr>
        <w:t xml:space="preserve">三、修订说明</w:t>
      </w:r>
    </w:p>
    <w:p>
      <w:pPr>
        <w:pStyle w:val="Heading3"/>
        <w:spacing w:after="160" w:before="240" w:line="360" w:lineRule="auto"/>
        <w:jc w:val="left"/>
      </w:pPr>
      <w:r>
        <w:rPr>
          <w:rFonts w:ascii="Times New Roman" w:cs="Times New Roman" w:eastAsia="黑体" w:hAnsi="Times New Roman"/>
          <w:b/>
          <w:bCs/>
          <w:sz w:val="24"/>
          <w:szCs w:val="24"/>
        </w:rPr>
        <w:t xml:space="preserve">3.1 本稿的来源与处理方式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本稿以作者所提供的《第三章　设计学的知识形态与范式转型命题》原稿为实质内容，未改动其论证结构与任何一项实质主张，所作的是语体改写与体例补齐两项工作。原稿的五节结构、各目的顺序与全部论点均予保留。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稿同时取代此前从零起草的《第3章-学理命题-初稿》。该初稿系在作者尚未提供本章材料时依绪论定位所拟，其论证虽与本稿方向一致，但在深度与完整性上均不及本稿，尤其缺少结构完好的空心化、手工技艺失传的历史类比、三说的实践后果差异、命题的可辩驳条件与主体能力的自主这五项内容。原初稿及其配套清单已移入 archive 目录备查，不再作为定稿基础。</w:t>
      </w:r>
    </w:p>
    <w:p>
      <w:pPr>
        <w:pStyle w:val="Heading3"/>
        <w:spacing w:after="160" w:before="240" w:line="360" w:lineRule="auto"/>
        <w:jc w:val="left"/>
      </w:pPr>
      <w:r>
        <w:rPr>
          <w:rFonts w:ascii="Times New Roman" w:cs="Times New Roman" w:eastAsia="黑体" w:hAnsi="Times New Roman"/>
          <w:b/>
          <w:bCs/>
          <w:sz w:val="24"/>
          <w:szCs w:val="24"/>
        </w:rPr>
        <w:t xml:space="preserve">3.2 语体改写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原稿为文言化论证语体，本次已全面改写为范本的现代学术论著语体。主要替换如下。</w:t>
      </w:r>
    </w:p>
    <w:p>
      <w:pPr>
        <w:spacing w:line="200" w:lineRule="auto"/>
      </w:pPr>
      <w:r>
        <w:rPr>
          <w:sz w:val="18"/>
          <w:szCs w:val="18"/>
        </w:rPr>
        <w:t xml:space="preserve"/>
      </w:r>
    </w:p>
    <w:p>
      <w:pPr>
        <w:spacing w:after="0" w:before="0" w:line="300" w:lineRule="auto"/>
        <w:jc w:val="center"/>
      </w:pPr>
      <w:r>
        <w:rPr>
          <w:rFonts w:ascii="Times New Roman" w:cs="Times New Roman" w:eastAsia="宋体" w:hAnsi="Times New Roman"/>
          <w:sz w:val="18"/>
          <w:szCs w:val="18"/>
        </w:rPr>
        <w:t xml:space="preserve">表 D 语体替换对照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原稿用语</w:t>
            </w:r>
          </w:p>
        </w:tc>
        <w:tc>
          <w:tcPr>
            <w:tcW w:type="dxa" w:w="4513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改后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凡此皆／凡此机制</w:t>
            </w:r>
          </w:p>
        </w:tc>
        <w:tc>
          <w:tcPr>
            <w:tcW w:type="dxa" w:w="4513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以上各项均／以上机制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惟／惟此说有二不足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但／但此说有两点不足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是故／职是之故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因此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要之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由此可见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其缘由在于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其原因在于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然则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然而／但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尚须补充／尚须辨明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需要补充的是／须予辨明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亦／皆／方／自……获得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也／均／才／从……获得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易言之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换言之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颇为活跃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较为活跃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不可谓小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相当可观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汗牛充栋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大量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无从复得／无从区分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无法复得／无法区分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第三章／第七章……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8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第3章／第7章……</w:t>
            </w:r>
          </w:p>
        </w:tc>
      </w:tr>
    </w:tbl>
    <w:p>
      <w:pPr>
        <w:spacing w:line="200" w:lineRule="auto"/>
      </w:pPr>
      <w:r>
        <w:rPr>
          <w:sz w:val="18"/>
          <w:szCs w:val="18"/>
        </w:rPr>
        <w:t xml:space="preserve"/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同时按范本节奏补入序次与连接：各处论证改以「第一，第二，第三」标示，段末以「因此」「由此可见」「以上……表明」收束。原稿中「一如空气之于呼吸」这一比喻予以保留，因其后随即还原为学理表述，符合指南关于比喻使用的要求。</w:t>
      </w:r>
    </w:p>
    <w:p>
      <w:pPr>
        <w:pStyle w:val="Heading3"/>
        <w:spacing w:after="160" w:before="240" w:line="360" w:lineRule="auto"/>
        <w:jc w:val="left"/>
      </w:pPr>
      <w:r>
        <w:rPr>
          <w:rFonts w:ascii="Times New Roman" w:cs="Times New Roman" w:eastAsia="黑体" w:hAnsi="Times New Roman"/>
          <w:b/>
          <w:bCs/>
          <w:sz w:val="24"/>
          <w:szCs w:val="24"/>
        </w:rPr>
        <w:t xml:space="preserve">3.3 体例补齐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第一，补节首导语。3.1 至 3.5 五节此前均直接进入 3.x.1，现每节补一段导语，交代本节任务与推进顺序。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第二，「3.5.4 小结与过渡」升为独立的「3.6 本章小结」，与第2章、第4章、第5章一致，且不含新论据与新图表。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第三，术语首见括注英文，包括问题空间（problem space）、劣构问题（wicked problems）、反思性实践（reflective practice）、知识生产的主体条件（subject conditions of knowledge production）、范式（paradigm）。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第四，人名首见均补为「中译名（外文，年份）」，其中「纳尔逊与斯托特曼」原稿未给年份，现补为（Nelson &amp; Stolterman，2003），请核对你所引版本。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第五，引注由无出处改为尾注上标，共 6 条，另标出 3 处待补。原稿全文无一处引注，这是与范本差距最大的一项。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第六，新增表 10 张、图 5 幅设计稿。原稿零图零表，而其中多处内容已写得足够结构化，成表即可，例如两条知识论进路的比较、三重不可化约性、三层维持机制、两类技术更替的对照、三说的比较与实践后果差异、三项推论、三项可辩驳条件、四个层面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第七，术语统一为「缄默性」「缄默成分」，与第2章及第1章的「缄默经验」一致（原稿此处作「默会性」）。</w:t>
      </w:r>
    </w:p>
    <w:p>
      <w:pPr>
        <w:pStyle w:val="Heading3"/>
        <w:spacing w:after="160" w:before="240" w:line="360" w:lineRule="auto"/>
        <w:jc w:val="left"/>
      </w:pPr>
      <w:r>
        <w:rPr>
          <w:rFonts w:ascii="Times New Roman" w:cs="Times New Roman" w:eastAsia="黑体" w:hAnsi="Times New Roman"/>
          <w:b/>
          <w:bCs/>
          <w:sz w:val="24"/>
          <w:szCs w:val="24"/>
        </w:rPr>
        <w:t xml:space="preserve">3.4 需要你确认的五处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，章次编号的写法。原稿作「第三章」，而已定稿的第2章、第4章、第5章均按范本作「第2章」「第4章」，正文引称亦作「第1章」「第7章」。本稿已统一改为阿拉伯数字。若你希望全书采用中文数字章序，则须回改本稿并同时回改第2、4、5章，宜一并决定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二，八章制已获确认。原稿正文引称第4章至第8章，与第2、4、5章的引称完全一致，此前各章清单中所列「章次引称待确认」一项至此可以解除：全书为绪论（第1章）、理论谱系（第2章）、本章（第3章）、边界判据（第4章）、衰减机制（第5章）、干预策略（第6章）、责任与溯源（第7章）、教育与产业（第8章）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第三，与第4章的分工。本稿 3.1.2 三重不可化约性，与第4章 4.2.1 三条判据（缄默性、不可撤回性、署名性）在「主体承担性 / 署名性」一处直接对应，在「情境依赖性 / 缄默性」一处间接对应，而「价值负载性」在第4章中对应的是「冲突目标之间的权衡」这一节点而非某一条判据。表3-2 末列已标出这一对应关系，请核对是否与你对两章分工的设想一致。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，原初稿中有两处内容为本稿所无，是否并入请你定夺。其一，隐含前提在设计理论中的三种表现形式，即方法类论述的施动者预设、程序类论述的节点预设、评价类论述的鉴赏者预设，以及前提动摇后三类论述各自的断裂形态。这一分析指认了前提在设计学论述中的具体位置，可作为 3.2.1 与 3.2.2 之间的一个新目补入。其二，命题不主张什么的四项自我限定（不主张学科将消亡、不主张抵制工具、不主张诉诸自律、不主张脱离工具培养）。本稿 3.4.3 的三项可辩驳条件已承担了划定命题边界的功能，二者略有重叠，但前者防的是误读，后者防的是不可证伪，功能不同，可考虑在 3.4.1 之后以一段的篇幅补入。</w:t>
      </w:r>
    </w:p>
    <w:p>
      <w:pPr>
        <w:spacing w:after="60" w:before="0" w:line="400" w:lineRule="auto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第五，3.3.5 与 3.5.2 两处的第8章预告。本稿两次预告第8章的内容，一为设计教育中生成式工具引入时机的取舍，一为地方设计资源与设计教育。撰写第8章时须确保二者均被兑现，且不与第8章自身的结构冲突。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2026-08-30T13:16:33.255Z</dcterms:created>
  <dcterms:modified xsi:type="dcterms:W3CDTF">2026-08-30T13:16:33.255Z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