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Times New Roman" w:hAnsi="Times New Roman" w:eastAsia="黑体"/>
          <w:b/>
          <w:color w:val="1F3A2E"/>
          <w:sz w:val="32"/>
        </w:rPr>
        <w:t>湖北省社会科学基金一般项目</w:t>
      </w:r>
    </w:p>
    <w:p>
      <w:pPr>
        <w:spacing w:before="0" w:after="200" w:line="288" w:lineRule="auto"/>
        <w:jc w:val="center"/>
      </w:pPr>
      <w:r>
        <w:rPr>
          <w:rFonts w:ascii="Times New Roman" w:hAnsi="Times New Roman" w:eastAsia="黑体"/>
          <w:b/>
          <w:color w:val="1F3A2E"/>
          <w:sz w:val="32"/>
        </w:rPr>
        <w:t>申报系统填报内容（拟稿）</w:t>
      </w:r>
    </w:p>
    <w:p>
      <w:pPr>
        <w:spacing w:before="0" w:after="40" w:line="312" w:lineRule="auto"/>
        <w:jc w:val="center"/>
      </w:pPr>
      <w:r>
        <w:rPr>
          <w:rFonts w:ascii="Times New Roman" w:hAnsi="Times New Roman" w:eastAsia="楷体"/>
          <w:b w:val="0"/>
          <w:sz w:val="24"/>
        </w:rPr>
        <w:t>课题名称：高校共享道路慢行主体的安全认知偏差与行为引导研究</w:t>
      </w:r>
    </w:p>
    <w:p>
      <w:pPr>
        <w:spacing w:before="0" w:after="280" w:line="312" w:lineRule="auto"/>
        <w:jc w:val="center"/>
      </w:pPr>
      <w:r>
        <w:rPr>
          <w:rFonts w:ascii="Times New Roman" w:hAnsi="Times New Roman" w:eastAsia="楷体"/>
          <w:b w:val="0"/>
          <w:color w:val="595F5A"/>
          <w:sz w:val="22"/>
        </w:rPr>
        <w:t>申报年度：2026年度　　项目类别：一般项目　　资助额度：2万元</w:t>
      </w:r>
    </w:p>
    <w:p>
      <w:pPr>
        <w:spacing w:before="0" w:after="240" w:line="336" w:lineRule="auto"/>
        <w:ind w:firstLine="420"/>
      </w:pPr>
      <w:r>
        <w:rPr>
          <w:rFonts w:ascii="Times New Roman" w:hAnsi="Times New Roman" w:eastAsia="楷体"/>
          <w:b w:val="0"/>
          <w:color w:val="595F5A"/>
          <w:sz w:val="21"/>
        </w:rPr>
        <w:t>本稿依据《高校共享道路慢行主体的安全认知偏差与行为引导研究》研究报告（2026年9月4日版）拟定，所有数据、结论与文献均与报告正文一致。以下各节标题即申报系统中对应的填写字段，可直接复制粘贴。</w:t>
      </w:r>
    </w:p>
    <w:p>
      <w:pPr>
        <w:spacing w:before="200" w:after="60" w:line="336" w:lineRule="auto"/>
      </w:pPr>
      <w:r>
        <w:rPr>
          <w:rFonts w:ascii="Times New Roman" w:hAnsi="Times New Roman" w:eastAsia="黑体"/>
          <w:b/>
          <w:sz w:val="24"/>
        </w:rPr>
        <w:t>填报速查</w:t>
      </w:r>
    </w:p>
    <w:tbl>
      <w:tblPr>
        <w:tblStyle w:val="TableGrid"/>
        <w:tblW w:type="auto" w:w="0"/>
        <w:jc w:val="center"/>
        <w:tblLook w:firstColumn="1" w:firstRow="1" w:lastColumn="0" w:lastRow="0" w:noHBand="0" w:noVBand="1" w:val="04A0"/>
      </w:tblPr>
      <w:tblGrid>
        <w:gridCol w:w="3097"/>
        <w:gridCol w:w="3097"/>
        <w:gridCol w:w="3097"/>
      </w:tblGrid>
      <w:tr>
        <w:tc>
          <w:tcPr>
            <w:tcW w:type="dxa" w:w="2041"/>
            <w:shd w:val="clear" w:fill="E8EBDE"/>
          </w:tcPr>
          <w:p>
            <w:pPr>
              <w:jc w:val="center"/>
            </w:pPr>
            <w:r/>
            <w:r>
              <w:rPr>
                <w:rFonts w:ascii="Times New Roman" w:hAnsi="Times New Roman" w:eastAsia="黑体"/>
                <w:b/>
                <w:sz w:val="21"/>
              </w:rPr>
              <w:t>系统字段</w:t>
            </w:r>
          </w:p>
        </w:tc>
        <w:tc>
          <w:tcPr>
            <w:tcW w:type="dxa" w:w="4762"/>
            <w:shd w:val="clear" w:fill="E8EBDE"/>
          </w:tcPr>
          <w:p>
            <w:pPr>
              <w:jc w:val="center"/>
            </w:pPr>
            <w:r/>
            <w:r>
              <w:rPr>
                <w:rFonts w:ascii="Times New Roman" w:hAnsi="Times New Roman" w:eastAsia="黑体"/>
                <w:b/>
                <w:sz w:val="21"/>
              </w:rPr>
              <w:t>系统要求</w:t>
            </w:r>
          </w:p>
        </w:tc>
        <w:tc>
          <w:tcPr>
            <w:tcW w:type="dxa" w:w="1928"/>
            <w:shd w:val="clear" w:fill="E8EBDE"/>
          </w:tcPr>
          <w:p>
            <w:pPr>
              <w:jc w:val="center"/>
            </w:pPr>
            <w:r/>
            <w:r>
              <w:rPr>
                <w:rFonts w:ascii="Times New Roman" w:hAnsi="Times New Roman" w:eastAsia="黑体"/>
                <w:b/>
                <w:sz w:val="21"/>
              </w:rPr>
              <w:t>本稿字数／项数</w:t>
            </w:r>
          </w:p>
        </w:tc>
      </w:tr>
      <w:tr>
        <w:tc>
          <w:tcPr>
            <w:tcW w:type="dxa" w:w="2041"/>
          </w:tcPr>
          <w:p>
            <w:pPr>
              <w:spacing w:line="288" w:lineRule="auto"/>
            </w:pPr>
            <w:r/>
            <w:r>
              <w:rPr>
                <w:rFonts w:ascii="Times New Roman" w:hAnsi="Times New Roman" w:eastAsia="宋体"/>
                <w:b w:val="0"/>
                <w:sz w:val="21"/>
              </w:rPr>
              <w:t>（3）项目选题</w:t>
            </w:r>
          </w:p>
        </w:tc>
        <w:tc>
          <w:tcPr>
            <w:tcW w:type="dxa" w:w="4762"/>
          </w:tcPr>
          <w:p>
            <w:pPr>
              <w:spacing w:line="288" w:lineRule="auto"/>
            </w:pPr>
            <w:r/>
            <w:r>
              <w:rPr>
                <w:rFonts w:ascii="Times New Roman" w:hAnsi="Times New Roman" w:eastAsia="宋体"/>
                <w:b w:val="0"/>
                <w:sz w:val="21"/>
              </w:rPr>
              <w:t>1500字左右；国内外研究现状述评、选题的意义</w:t>
            </w:r>
          </w:p>
        </w:tc>
        <w:tc>
          <w:tcPr>
            <w:tcW w:type="dxa" w:w="1928"/>
          </w:tcPr>
          <w:p>
            <w:pPr>
              <w:spacing w:line="288" w:lineRule="auto"/>
              <w:jc w:val="center"/>
            </w:pPr>
            <w:r/>
            <w:r>
              <w:rPr>
                <w:rFonts w:ascii="Times New Roman" w:hAnsi="Times New Roman" w:eastAsia="宋体"/>
                <w:b w:val="0"/>
                <w:sz w:val="21"/>
              </w:rPr>
              <w:t>1479 字</w:t>
            </w:r>
          </w:p>
        </w:tc>
      </w:tr>
      <w:tr>
        <w:tc>
          <w:tcPr>
            <w:tcW w:type="dxa" w:w="2041"/>
          </w:tcPr>
          <w:p>
            <w:pPr>
              <w:spacing w:line="288" w:lineRule="auto"/>
            </w:pPr>
            <w:r/>
            <w:r>
              <w:rPr>
                <w:rFonts w:ascii="Times New Roman" w:hAnsi="Times New Roman" w:eastAsia="宋体"/>
                <w:b w:val="0"/>
                <w:sz w:val="21"/>
              </w:rPr>
              <w:t>（4）项目内容简介</w:t>
            </w:r>
          </w:p>
        </w:tc>
        <w:tc>
          <w:tcPr>
            <w:tcW w:type="dxa" w:w="4762"/>
          </w:tcPr>
          <w:p>
            <w:pPr>
              <w:spacing w:line="288" w:lineRule="auto"/>
            </w:pPr>
            <w:r/>
            <w:r>
              <w:rPr>
                <w:rFonts w:ascii="Times New Roman" w:hAnsi="Times New Roman" w:eastAsia="宋体"/>
                <w:b w:val="0"/>
                <w:sz w:val="21"/>
              </w:rPr>
              <w:t>2500字左右；基本思路和方法、主要观点和创新点</w:t>
            </w:r>
          </w:p>
        </w:tc>
        <w:tc>
          <w:tcPr>
            <w:tcW w:type="dxa" w:w="1928"/>
          </w:tcPr>
          <w:p>
            <w:pPr>
              <w:spacing w:line="288" w:lineRule="auto"/>
              <w:jc w:val="center"/>
            </w:pPr>
            <w:r/>
            <w:r>
              <w:rPr>
                <w:rFonts w:ascii="Times New Roman" w:hAnsi="Times New Roman" w:eastAsia="宋体"/>
                <w:b w:val="0"/>
                <w:sz w:val="21"/>
              </w:rPr>
              <w:t>2490 字</w:t>
            </w:r>
          </w:p>
        </w:tc>
      </w:tr>
      <w:tr>
        <w:tc>
          <w:tcPr>
            <w:tcW w:type="dxa" w:w="2041"/>
          </w:tcPr>
          <w:p>
            <w:pPr>
              <w:spacing w:line="288" w:lineRule="auto"/>
            </w:pPr>
            <w:r/>
            <w:r>
              <w:rPr>
                <w:rFonts w:ascii="Times New Roman" w:hAnsi="Times New Roman" w:eastAsia="宋体"/>
                <w:b w:val="0"/>
                <w:sz w:val="21"/>
              </w:rPr>
              <w:t>（5）主要参考文献</w:t>
            </w:r>
          </w:p>
        </w:tc>
        <w:tc>
          <w:tcPr>
            <w:tcW w:type="dxa" w:w="4762"/>
          </w:tcPr>
          <w:p>
            <w:pPr>
              <w:spacing w:line="288" w:lineRule="auto"/>
            </w:pPr>
            <w:r/>
            <w:r>
              <w:rPr>
                <w:rFonts w:ascii="Times New Roman" w:hAnsi="Times New Roman" w:eastAsia="宋体"/>
                <w:b w:val="0"/>
                <w:sz w:val="21"/>
              </w:rPr>
              <w:t>限填20项</w:t>
            </w:r>
          </w:p>
        </w:tc>
        <w:tc>
          <w:tcPr>
            <w:tcW w:type="dxa" w:w="1928"/>
          </w:tcPr>
          <w:p>
            <w:pPr>
              <w:spacing w:line="288" w:lineRule="auto"/>
              <w:jc w:val="center"/>
            </w:pPr>
            <w:r/>
            <w:r>
              <w:rPr>
                <w:rFonts w:ascii="Times New Roman" w:hAnsi="Times New Roman" w:eastAsia="宋体"/>
                <w:b w:val="0"/>
                <w:sz w:val="21"/>
              </w:rPr>
              <w:t>20 项</w:t>
            </w:r>
          </w:p>
        </w:tc>
      </w:tr>
      <w:tr>
        <w:tc>
          <w:tcPr>
            <w:tcW w:type="dxa" w:w="2041"/>
          </w:tcPr>
          <w:p>
            <w:pPr>
              <w:spacing w:line="288" w:lineRule="auto"/>
            </w:pPr>
            <w:r/>
            <w:r>
              <w:rPr>
                <w:rFonts w:ascii="Times New Roman" w:hAnsi="Times New Roman" w:eastAsia="宋体"/>
                <w:b w:val="0"/>
                <w:sz w:val="21"/>
              </w:rPr>
              <w:t>6．经费信息</w:t>
            </w:r>
          </w:p>
        </w:tc>
        <w:tc>
          <w:tcPr>
            <w:tcW w:type="dxa" w:w="4762"/>
          </w:tcPr>
          <w:p>
            <w:pPr>
              <w:spacing w:line="288" w:lineRule="auto"/>
            </w:pPr>
            <w:r/>
            <w:r>
              <w:rPr>
                <w:rFonts w:ascii="Times New Roman" w:hAnsi="Times New Roman" w:eastAsia="宋体"/>
                <w:b w:val="0"/>
                <w:sz w:val="21"/>
              </w:rPr>
              <w:t>单位为元，保留两位小数，总数2万元</w:t>
            </w:r>
          </w:p>
        </w:tc>
        <w:tc>
          <w:tcPr>
            <w:tcW w:type="dxa" w:w="1928"/>
          </w:tcPr>
          <w:p>
            <w:pPr>
              <w:spacing w:line="288" w:lineRule="auto"/>
              <w:jc w:val="center"/>
            </w:pPr>
            <w:r/>
            <w:r>
              <w:rPr>
                <w:rFonts w:ascii="Times New Roman" w:hAnsi="Times New Roman" w:eastAsia="宋体"/>
                <w:b w:val="0"/>
                <w:sz w:val="21"/>
              </w:rPr>
              <w:t>20000.00 元</w:t>
            </w:r>
          </w:p>
        </w:tc>
      </w:tr>
    </w:tbl>
    <w:p>
      <w:pPr>
        <w:spacing w:before="360" w:after="80" w:line="312" w:lineRule="auto"/>
      </w:pPr>
      <w:r>
        <w:rPr>
          <w:rFonts w:ascii="Times New Roman" w:hAnsi="Times New Roman" w:eastAsia="黑体"/>
          <w:b/>
          <w:color w:val="1F3A2E"/>
          <w:sz w:val="28"/>
        </w:rPr>
        <w:t>一　项目选题</w:t>
      </w:r>
    </w:p>
    <w:p>
      <w:pPr>
        <w:spacing w:after="160" w:line="312" w:lineRule="auto"/>
      </w:pPr>
      <w:r>
        <w:rPr>
          <w:rFonts w:ascii="Times New Roman" w:hAnsi="Times New Roman" w:eastAsia="楷体"/>
          <w:b w:val="0"/>
          <w:color w:val="595F5A"/>
          <w:sz w:val="21"/>
        </w:rPr>
        <w:t>【对应系统"项目信息—项目选题"字段。要点提示：1500字左右，课题国内外研究现状述评；选题的意义。本稿正文 1479 字。】</w:t>
      </w:r>
    </w:p>
    <w:p>
      <w:pPr>
        <w:spacing w:before="200" w:after="60" w:line="336" w:lineRule="auto"/>
      </w:pPr>
      <w:r>
        <w:rPr>
          <w:rFonts w:ascii="Times New Roman" w:hAnsi="Times New Roman" w:eastAsia="黑体"/>
          <w:b/>
          <w:sz w:val="24"/>
        </w:rPr>
        <w:t>一、国内外研究现状述评</w:t>
      </w:r>
    </w:p>
    <w:p>
      <w:pPr>
        <w:spacing w:before="0" w:after="120" w:line="360" w:lineRule="auto"/>
        <w:ind w:firstLine="480"/>
      </w:pPr>
      <w:r>
        <w:rPr>
          <w:rFonts w:ascii="Times New Roman" w:hAnsi="Times New Roman" w:eastAsia="宋体"/>
          <w:b w:val="0"/>
          <w:sz w:val="24"/>
        </w:rPr>
        <w:t>（一）共享道路的交通冲突识别与评价。共享空间理念主张弱化物理边界、以使用者之间的临场协商替代刚性管制，在欧洲低速街区取得一定成效，但其在高密度场景中的适用性始终存在争议。在客观识别上，以碰撞时间（TTC）、后侵入时间（PET）为代表的替代安全指标已形成较成熟的方法体系，其在弱势道路使用者情境中的适用边界亦得到系统评估；近年来视频轨迹提取与机器学习被用于共享路径与非机动车道的冲突自动识别与分级。然而，此类研究的解释效力主要停留在行为表象层面，难以回答参与者在特定情境下"为何"作出该判断。</w:t>
      </w:r>
    </w:p>
    <w:p>
      <w:pPr>
        <w:spacing w:before="0" w:after="120" w:line="360" w:lineRule="auto"/>
        <w:ind w:firstLine="480"/>
      </w:pPr>
      <w:r>
        <w:rPr>
          <w:rFonts w:ascii="Times New Roman" w:hAnsi="Times New Roman" w:eastAsia="宋体"/>
          <w:b w:val="0"/>
          <w:sz w:val="24"/>
        </w:rPr>
        <w:t>（二）校园交通环境与主观安全感知。建成环境与出行行为的关系研究已建立起从密度、多样性、设计三要素到步行适宜性指数的量化路径，面向骑行的服务水平模型、交通压力等级与路径使用者舒适度当量等方法族群亦日趋成熟。值得注意的是，校园情境的实证研究发现，客观审计所得的骑行适宜性结论与使用者主观评分在部分路段明显分歧。但既有文献多将这种主客观不一致视为测量信度问题加以处理，鲜有研究将其确立为独立对象，进而追问偏差出现在何处、幅度多大、由哪些因素引起。</w:t>
      </w:r>
    </w:p>
    <w:p>
      <w:pPr>
        <w:spacing w:before="0" w:after="120" w:line="360" w:lineRule="auto"/>
        <w:ind w:firstLine="480"/>
      </w:pPr>
      <w:r>
        <w:rPr>
          <w:rFonts w:ascii="Times New Roman" w:hAnsi="Times New Roman" w:eastAsia="宋体"/>
          <w:b w:val="0"/>
          <w:sz w:val="24"/>
        </w:rPr>
        <w:t>（三）慢行主体的行为特征与决策机制。合理行为理论、计划行为理论与技术接受模型为解释交通行为意图提供了成熟框架，其中知觉行为控制刻画个体对执行难易程度的主观判断，感知有用性与感知易用性则解释使用者对规则与设施的接受意愿。风险认知研究进一步说明，风险判断的偏差并非随机误差，而是具有稳定结构、可被识别的现象。近期研究已将上述框架用于校园电动自行车不规范使用与危险骑行行为的分析，并注意到主体角色与空间视角对主观安全判断的影响。不过，此类研究多依赖自陈问卷这一单一数据源，与客观冲突数据缺乏有效映射。</w:t>
      </w:r>
    </w:p>
    <w:p>
      <w:pPr>
        <w:spacing w:before="0" w:after="120" w:line="360" w:lineRule="auto"/>
        <w:ind w:firstLine="480"/>
      </w:pPr>
      <w:r>
        <w:rPr>
          <w:rFonts w:ascii="Times New Roman" w:hAnsi="Times New Roman" w:eastAsia="宋体"/>
          <w:b w:val="0"/>
          <w:sz w:val="24"/>
        </w:rPr>
        <w:t>（四）安全引导策略与设计方法。面向共享道路的干预可归为工程、教育、管理与技术四类路径，各有作用边界：工程措施效果稳定但成本高，教育措施覆盖广但衰减快，管理措施在以柔性管理为主的校园中约束力有限，技术措施需持续运维。在设计方法上，寻路理论、认知负荷与多重资源理论、视觉编码研究与助推思想，共同为"在关键决策点以最低认知代价传递最必要信息"提供了依据，Kano模型与系统可用性量表则为需求分层与方案验证提供了工具。但现有引导措施与行为机理之间往往缺乏严密推导，多源于经验判断或案例移植，可迁移性与效果确定性均受限。</w:t>
      </w:r>
    </w:p>
    <w:p>
      <w:pPr>
        <w:spacing w:before="0" w:after="120" w:line="360" w:lineRule="auto"/>
        <w:ind w:firstLine="480"/>
      </w:pPr>
      <w:r>
        <w:rPr>
          <w:rFonts w:ascii="Times New Roman" w:hAnsi="Times New Roman" w:eastAsia="宋体"/>
          <w:b w:val="0"/>
          <w:sz w:val="24"/>
        </w:rPr>
        <w:t>综上，既有研究在四个维度上均有积累，但衔接处存在三个尚未解决的缺口：其一，客观冲突识别与主观行为解释各自独立发展，尚未构建可相互印证的证据链；其二，主观感知与客观风险之间的系统性偏离未被确立为独立的测度对象，其分布、成因与影响因素缺乏实证揭示；其三，理论发现向设计实践的转化路径缺乏机理层面的推导。这三处缺口正是本课题的选题起点。</w:t>
      </w:r>
    </w:p>
    <w:p>
      <w:pPr>
        <w:spacing w:before="200" w:after="60" w:line="336" w:lineRule="auto"/>
      </w:pPr>
      <w:r>
        <w:rPr>
          <w:rFonts w:ascii="Times New Roman" w:hAnsi="Times New Roman" w:eastAsia="黑体"/>
          <w:b/>
          <w:sz w:val="24"/>
        </w:rPr>
        <w:t>二、选题的意义</w:t>
      </w:r>
    </w:p>
    <w:p>
      <w:pPr>
        <w:spacing w:before="0" w:after="120" w:line="360" w:lineRule="auto"/>
        <w:ind w:firstLine="480"/>
      </w:pPr>
      <w:r>
        <w:rPr>
          <w:rFonts w:ascii="Times New Roman" w:hAnsi="Times New Roman" w:eastAsia="宋体"/>
          <w:b w:val="0"/>
          <w:sz w:val="24"/>
        </w:rPr>
        <w:t>理论意义方面，本课题把安全认知偏差由方法学上的信度问题转化为可计算的研究对象，建立客观安全指数（OSI）与认知偏差系数（CBC）的量化对照；以多群组结构方程分析分别刻画行人与骑行者的决策机理；并将行为科学的解释框架与设计学的生成方法衔接为"识别—解释—生成—验证"的闭环。</w:t>
      </w:r>
    </w:p>
    <w:p>
      <w:pPr>
        <w:spacing w:before="0" w:after="120" w:line="360" w:lineRule="auto"/>
        <w:ind w:firstLine="480"/>
      </w:pPr>
      <w:r>
        <w:rPr>
          <w:rFonts w:ascii="Times New Roman" w:hAnsi="Times New Roman" w:eastAsia="宋体"/>
          <w:b w:val="0"/>
          <w:sz w:val="24"/>
        </w:rPr>
        <w:t>实践意义方面，冲突热点与环境要素的量化关系可用于校园道路改造的优先级排序与设计参数选取；引导系统原型及其设计规范可供高校导视更新参考，色彩编码与信息层级具有跨校迁移的可能；所建立的工作流程本身亦是一套可复用的自评估方法。</w:t>
      </w:r>
    </w:p>
    <w:p>
      <w:pPr>
        <w:spacing w:before="0" w:after="120" w:line="360" w:lineRule="auto"/>
        <w:ind w:firstLine="480"/>
      </w:pPr>
      <w:r>
        <w:rPr>
          <w:rFonts w:ascii="Times New Roman" w:hAnsi="Times New Roman" w:eastAsia="宋体"/>
          <w:b w:val="0"/>
          <w:sz w:val="24"/>
        </w:rPr>
        <w:t>社会意义方面，湖北高校集聚，校园共享道路安全是覆盖面相当的共性议题；而平安校园建设的重心多在消防、治安与食品安全，校内交通安全尚未获得同等关注。本课题成果可为省内高校提供成本可控、可分步实施的改善方案。</w:t>
      </w:r>
    </w:p>
    <w:p>
      <w:pPr>
        <w:spacing w:before="360" w:after="80" w:line="312" w:lineRule="auto"/>
      </w:pPr>
      <w:r>
        <w:rPr>
          <w:rFonts w:ascii="Times New Roman" w:hAnsi="Times New Roman" w:eastAsia="黑体"/>
          <w:b/>
          <w:color w:val="1F3A2E"/>
          <w:sz w:val="28"/>
        </w:rPr>
        <w:t>二　项目内容简介</w:t>
      </w:r>
    </w:p>
    <w:p>
      <w:pPr>
        <w:spacing w:after="160" w:line="312" w:lineRule="auto"/>
      </w:pPr>
      <w:r>
        <w:rPr>
          <w:rFonts w:ascii="Times New Roman" w:hAnsi="Times New Roman" w:eastAsia="楷体"/>
          <w:b w:val="0"/>
          <w:color w:val="595F5A"/>
          <w:sz w:val="21"/>
        </w:rPr>
        <w:t>【对应系统"项目信息—项目内容简介"字段。要点提示：2500字左右，课题研究的基本思路和方法，主要观点和创新点等。本稿正文 2490 字。】</w:t>
      </w:r>
    </w:p>
    <w:p>
      <w:pPr>
        <w:spacing w:before="200" w:after="60" w:line="336" w:lineRule="auto"/>
      </w:pPr>
      <w:r>
        <w:rPr>
          <w:rFonts w:ascii="Times New Roman" w:hAnsi="Times New Roman" w:eastAsia="黑体"/>
          <w:b/>
          <w:sz w:val="24"/>
        </w:rPr>
        <w:t>一、研究的基本思路</w:t>
      </w:r>
    </w:p>
    <w:p>
      <w:pPr>
        <w:spacing w:before="0" w:after="120" w:line="360" w:lineRule="auto"/>
        <w:ind w:firstLine="480"/>
      </w:pPr>
      <w:r>
        <w:rPr>
          <w:rFonts w:ascii="Times New Roman" w:hAnsi="Times New Roman" w:eastAsia="宋体"/>
          <w:b w:val="0"/>
          <w:sz w:val="24"/>
        </w:rPr>
        <w:t>本课题以湖北某高校主校区为实证对象，以校园共享道路上的行人与骑行者（统称慢行主体）为研究对象，遵循"特征识别—模型构建—需求识别—策略生成"的研究路径，构建四项循序渐进的子任务：①高校共享道路交通冲突特征识别；②共享道路冲突主体安全认知与行为意图作用机理研究；③共享道路交通冲突主体认知偏差与需求分析；④高校共享道路安全引导策略生成与验证。</w:t>
      </w:r>
    </w:p>
    <w:p>
      <w:pPr>
        <w:spacing w:before="0" w:after="120" w:line="360" w:lineRule="auto"/>
        <w:ind w:firstLine="480"/>
      </w:pPr>
      <w:r>
        <w:rPr>
          <w:rFonts w:ascii="Times New Roman" w:hAnsi="Times New Roman" w:eastAsia="宋体"/>
          <w:b w:val="0"/>
          <w:sz w:val="24"/>
        </w:rPr>
        <w:t>四项子任务之间是逐级供给而非并列罗列的关系：子任务①以视频观测获得的客观冲突数据界定问题的空间边界与行为边界，其结果为子任务②的抽样与情境设定提供背景；子任务②以结构方程模型揭示行为意图的关联路径，其识别的关键变量为子任务③的场景变量设定提供依据；子任务③以主客观对照量化认知偏差，并经深度访谈与参与式工作坊将偏差转化为可操作的设计需求；子任务④以需求清单为输入生成设计方案，并回到量化评估完成验证。由此形成"由客观观测界定问题、由行为模型解释成因、由偏差测度识别需求、由设计方案作出回应"的完整闭环。</w:t>
      </w:r>
    </w:p>
    <w:p>
      <w:pPr>
        <w:spacing w:before="200" w:after="60" w:line="336" w:lineRule="auto"/>
      </w:pPr>
      <w:r>
        <w:rPr>
          <w:rFonts w:ascii="Times New Roman" w:hAnsi="Times New Roman" w:eastAsia="黑体"/>
          <w:b/>
          <w:sz w:val="24"/>
        </w:rPr>
        <w:t>二、研究方法与数据</w:t>
      </w:r>
    </w:p>
    <w:p>
      <w:pPr>
        <w:spacing w:before="0" w:after="120" w:line="360" w:lineRule="auto"/>
        <w:ind w:firstLine="480"/>
      </w:pPr>
      <w:r>
        <w:rPr>
          <w:rFonts w:ascii="Times New Roman" w:hAnsi="Times New Roman" w:eastAsia="宋体"/>
          <w:b w:val="0"/>
          <w:sz w:val="24"/>
        </w:rPr>
        <w:t>本课题采用混合方法的多阶段序贯设计，定量与定性方法按先后顺序相互衔接而非平行展开。文献述评依托系统化检索流程完成，检索范围覆盖Web of Science核心合集、Scopus与中国知网，时间窗为2010年1月至2025年9月，初检2847条记录，经去重、初筛与全文复核，最终纳入97条文献。</w:t>
      </w:r>
    </w:p>
    <w:p>
      <w:pPr>
        <w:spacing w:before="0" w:after="120" w:line="360" w:lineRule="auto"/>
        <w:ind w:firstLine="480"/>
      </w:pPr>
      <w:r>
        <w:rPr>
          <w:rFonts w:ascii="Times New Roman" w:hAnsi="Times New Roman" w:eastAsia="宋体"/>
          <w:b w:val="0"/>
          <w:sz w:val="24"/>
        </w:rPr>
        <w:t>子任务①采用视频观测、交通冲突技术、半结构化访谈与问卷调查，在校园12个点位布设设备，结合计算机视觉与人工标注提取冲突事件，建立"时间—空间—行为"数据，并将热点区域的环境特征与行为模式对应分析；数据来源包括12个点位的视频记录、53人次访谈与132份问卷。子任务②基于计划行为理论、合理行为理论与技术接受模型构建整合框架，开发包含8个潜变量、43个初始题项的量表，经内容效度评议与探索性因子分析修订后保留39个题项，回收有效问卷232份，运用结构方程模型开展验证性因子分析、路径分析、测量不变性检验与多群组比较。子任务③使用AIGC技术制作96个第一人称视角道路场景刺激材料，构建客观安全指数（OSI）作为环境评价基准，并以认知偏差系数（CBC）度量主观评分相对该基准的偏离，累计获得870条场景评分记录，结合30人次深度访谈与3场参与式设计工作坊形成需求清单。子任务④通过重要度—满意度分析与Kano模型完成需求分层，经20个国内外案例的结构化编码提取策略单元，开展多方案概念设计与专家评议，形成中等保真度原型，并以系统可用性量表（SUS）与出声思维法完成可用性测试，同时以自行车服务水平（BLOS）与路径使用者舒适度当量（PUCE）作方案参数比较；数据来源包括86份Kano问卷、20个案例与26人评估。</w:t>
      </w:r>
    </w:p>
    <w:p>
      <w:pPr>
        <w:spacing w:before="0" w:after="120" w:line="360" w:lineRule="auto"/>
        <w:ind w:firstLine="480"/>
      </w:pPr>
      <w:r>
        <w:rPr>
          <w:rFonts w:ascii="Times New Roman" w:hAnsi="Times New Roman" w:eastAsia="宋体"/>
          <w:b w:val="0"/>
          <w:sz w:val="24"/>
        </w:rPr>
        <w:t>为提升结论可信度，本课题在数据来源与方法层面安排三角互证：同一问题同时借助观测数据、问卷数据与访谈资料加以考察；视频标注与访谈编码均采用双人独立作业并计算一致性，以降低单一研究者判断偏好的影响。</w:t>
      </w:r>
    </w:p>
    <w:p>
      <w:pPr>
        <w:spacing w:before="200" w:after="60" w:line="336" w:lineRule="auto"/>
      </w:pPr>
      <w:r>
        <w:rPr>
          <w:rFonts w:ascii="Times New Roman" w:hAnsi="Times New Roman" w:eastAsia="黑体"/>
          <w:b/>
          <w:sz w:val="24"/>
        </w:rPr>
        <w:t>三、主要观点</w:t>
      </w:r>
    </w:p>
    <w:p>
      <w:pPr>
        <w:spacing w:before="0" w:after="120" w:line="360" w:lineRule="auto"/>
        <w:ind w:firstLine="480"/>
      </w:pPr>
      <w:r>
        <w:rPr>
          <w:rFonts w:ascii="Times New Roman" w:hAnsi="Times New Roman" w:eastAsia="宋体"/>
          <w:b w:val="0"/>
          <w:sz w:val="24"/>
        </w:rPr>
        <w:t>第一，校园共享道路的交通冲突在时空与行为上呈现明显的集聚特征。视频观测共识别294起冲突事件，其中5处重点点位占观测点数的41.7%，却记录了51.7%的事件；早、晚高峰分别占28.2%和26.2%；注意力分散类与违规运动类行为分别占37.8%和31.3%。上述比例反映观测样本的构成，因时段采样强度与交通暴露量不同，不宜直接解释为单位通行量的冲突风险。</w:t>
      </w:r>
    </w:p>
    <w:p>
      <w:pPr>
        <w:spacing w:before="0" w:after="120" w:line="360" w:lineRule="auto"/>
        <w:ind w:firstLine="480"/>
      </w:pPr>
      <w:r>
        <w:rPr>
          <w:rFonts w:ascii="Times New Roman" w:hAnsi="Times New Roman" w:eastAsia="宋体"/>
          <w:b w:val="0"/>
          <w:sz w:val="24"/>
        </w:rPr>
        <w:t>第二，行人与骑行者的行为意图关联路径存在系统差异。模型估计提示，行人组中风险感知、安全态度与行为意图之间的关联较为突出，安全态度至行为意图的标准化路径系数为0.378，模型对行为意图的解释率为52.3%；骑行者组中知觉行为控制至行为意图的系数为0.324，感知易用性经由控制感与意图相联系，解释率为44.8%。这说明同一空间中的两类主体并不遵循同一套心理逻辑，面向全体使用者的统一化措施难以同时奏效。</w:t>
      </w:r>
    </w:p>
    <w:p>
      <w:pPr>
        <w:spacing w:before="0" w:after="120" w:line="360" w:lineRule="auto"/>
        <w:ind w:firstLine="480"/>
      </w:pPr>
      <w:r>
        <w:rPr>
          <w:rFonts w:ascii="Times New Roman" w:hAnsi="Times New Roman" w:eastAsia="宋体"/>
          <w:b w:val="0"/>
          <w:sz w:val="24"/>
        </w:rPr>
        <w:t>第三，主观安全评分相对于环境评价基准存在结构性偏离，且偏离方向随场景类型而变。96个场景中，33个表现为较大正偏差（34.4%），23个为较大负偏差（24.0%），40个处于预设偏差区间内（41.7%）；弯道路段的平均认知偏差系数为32.8%，建筑出入口为−19.3%。前者意味着风险被相对低估，后者意味着过度谨慎，两类区域需要方向相反的干预。</w:t>
      </w:r>
    </w:p>
    <w:p>
      <w:pPr>
        <w:spacing w:before="0" w:after="120" w:line="360" w:lineRule="auto"/>
        <w:ind w:firstLine="480"/>
      </w:pPr>
      <w:r>
        <w:rPr>
          <w:rFonts w:ascii="Times New Roman" w:hAnsi="Times New Roman" w:eastAsia="宋体"/>
          <w:b w:val="0"/>
          <w:sz w:val="24"/>
        </w:rPr>
        <w:t>第四，安全引导需求具有明确的层级依赖，实施应遵循"先基础后提升"。研究形成5个维度、23项要素的需求清单，经Kano分类归纳为4项基本需求、5项期望需求与5项兴奋需求；盲区提示与安全路径指引须以清晰的路权划分为前提，社会规范可视化与情感化设计亦以基本需求的满足为条件。据此开发的原型采用区域色彩、边界图形、照明与动态信息的组合，由地面标识与立面动态提示装置构成，26名参与者的SUS平均得分为76.3分。需要说明的是，现阶段证据主要反映原型的可理解性、任务完成情况与使用体验，方案目标参数不能作为实地改造后安全成效的证明。</w:t>
      </w:r>
    </w:p>
    <w:p>
      <w:pPr>
        <w:spacing w:before="200" w:after="60" w:line="336" w:lineRule="auto"/>
      </w:pPr>
      <w:r>
        <w:rPr>
          <w:rFonts w:ascii="Times New Roman" w:hAnsi="Times New Roman" w:eastAsia="黑体"/>
          <w:b/>
          <w:sz w:val="24"/>
        </w:rPr>
        <w:t>四、创新点</w:t>
      </w:r>
    </w:p>
    <w:p>
      <w:pPr>
        <w:spacing w:before="0" w:after="120" w:line="360" w:lineRule="auto"/>
        <w:ind w:firstLine="480"/>
      </w:pPr>
      <w:r>
        <w:rPr>
          <w:rFonts w:ascii="Times New Roman" w:hAnsi="Times New Roman" w:eastAsia="宋体"/>
          <w:b w:val="0"/>
          <w:sz w:val="24"/>
        </w:rPr>
        <w:t>其一，研究对象上的创新。将"安全认知偏差"由方法学上的信度问题转化为具有实质意义的研究对象，构建客观安全指数与认知偏差系数的量化对照体系，使主观感知与客观风险之间的偏离在何处、有多大成为可测量、可比较的问题，并进一步识别偏差的场景类型与影响因素。</w:t>
      </w:r>
    </w:p>
    <w:p>
      <w:pPr>
        <w:spacing w:before="0" w:after="120" w:line="360" w:lineRule="auto"/>
        <w:ind w:firstLine="480"/>
      </w:pPr>
      <w:r>
        <w:rPr>
          <w:rFonts w:ascii="Times New Roman" w:hAnsi="Times New Roman" w:eastAsia="宋体"/>
          <w:b w:val="0"/>
          <w:sz w:val="24"/>
        </w:rPr>
        <w:t>其二，理论解释上的创新。以多群组结构方程分析分别刻画行人与骑行者的行为决策机理，在同一模型框架内比较两类慢行主体的路径差异与解释力差异，为差异化而非一刀切的安全引导提供实证依据。</w:t>
      </w:r>
    </w:p>
    <w:p>
      <w:pPr>
        <w:spacing w:before="0" w:after="120" w:line="360" w:lineRule="auto"/>
        <w:ind w:firstLine="480"/>
      </w:pPr>
      <w:r>
        <w:rPr>
          <w:rFonts w:ascii="Times New Roman" w:hAnsi="Times New Roman" w:eastAsia="宋体"/>
          <w:b w:val="0"/>
          <w:sz w:val="24"/>
        </w:rPr>
        <w:t>其三，研究范式上的创新。将行为科学的解释性框架与设计学的生成性方法相衔接，形成"识别—解释—生成—验证"的完整闭环，四项子任务逐级供给、每一环节的输出构成下一环节的输入，为设计干预类研究提供了一种可复用的研究范式。</w:t>
      </w:r>
    </w:p>
    <w:p>
      <w:pPr>
        <w:spacing w:before="0" w:after="120" w:line="360" w:lineRule="auto"/>
        <w:ind w:firstLine="480"/>
      </w:pPr>
      <w:r>
        <w:rPr>
          <w:rFonts w:ascii="Times New Roman" w:hAnsi="Times New Roman" w:eastAsia="宋体"/>
          <w:b w:val="0"/>
          <w:sz w:val="24"/>
        </w:rPr>
        <w:t>其四，成果形态上的创新。研究成果并非停留于机理解释，而是落地为一套可实施的安全引导系统原型与配套设计参数，其色彩编码、信息层级与布点原则具有跨校迁移的可能；同时形成"观测—建模—测度—设计—验证"的自评估流程，可供省内高校复用，使校园交通安全治理由一次性的工程行为转变为持续性的管理过程。</w:t>
      </w:r>
    </w:p>
    <w:p>
      <w:pPr>
        <w:spacing w:before="360" w:after="80" w:line="312" w:lineRule="auto"/>
      </w:pPr>
      <w:r>
        <w:rPr>
          <w:rFonts w:ascii="Times New Roman" w:hAnsi="Times New Roman" w:eastAsia="黑体"/>
          <w:b/>
          <w:color w:val="1F3A2E"/>
          <w:sz w:val="28"/>
        </w:rPr>
        <w:t>三　主要参考文献</w:t>
      </w:r>
    </w:p>
    <w:p>
      <w:pPr>
        <w:spacing w:after="160" w:line="312" w:lineRule="auto"/>
      </w:pPr>
      <w:r>
        <w:rPr>
          <w:rFonts w:ascii="Times New Roman" w:hAnsi="Times New Roman" w:eastAsia="楷体"/>
          <w:b w:val="0"/>
          <w:color w:val="595F5A"/>
          <w:sz w:val="21"/>
        </w:rPr>
        <w:t>【对应系统"项目信息—主要参考文献"字段。限填20项，本稿从研究报告的97条参考文献中择要选取20条，覆盖共享空间理论、冲突识别技术、主观安全感知、行为决策理论、风险认知、需求分类与可用性评估六个方面，其中中文文献5条、近五年文献11条。】</w:t>
      </w:r>
    </w:p>
    <w:p>
      <w:pPr>
        <w:spacing w:after="60" w:line="324" w:lineRule="auto"/>
        <w:ind w:left="510" w:hanging="510"/>
      </w:pPr>
      <w:r>
        <w:rPr>
          <w:rFonts w:ascii="Times New Roman" w:hAnsi="Times New Roman" w:eastAsia="宋体"/>
          <w:b w:val="0"/>
          <w:sz w:val="21"/>
        </w:rPr>
        <w:t>[1] HAMILTON-BAILLIE B. Shared space: reconciling people, places and traffic[J]. Built Environment, 2008, 34(2): 161-181.</w:t>
      </w:r>
    </w:p>
    <w:p>
      <w:pPr>
        <w:spacing w:after="60" w:line="324" w:lineRule="auto"/>
        <w:ind w:left="510" w:hanging="510"/>
      </w:pPr>
      <w:r>
        <w:rPr>
          <w:rFonts w:ascii="Times New Roman" w:hAnsi="Times New Roman" w:eastAsia="宋体"/>
          <w:b w:val="0"/>
          <w:sz w:val="21"/>
        </w:rPr>
        <w:t>[2] MOODY S, MELIA S. Shared space: research, policy and problems[J]. Proceedings of the Institution of Civil Engineers - Transport, 2014, 167(6): 384-392.</w:t>
      </w:r>
    </w:p>
    <w:p>
      <w:pPr>
        <w:spacing w:after="60" w:line="324" w:lineRule="auto"/>
        <w:ind w:left="510" w:hanging="510"/>
      </w:pPr>
      <w:r>
        <w:rPr>
          <w:rFonts w:ascii="Times New Roman" w:hAnsi="Times New Roman" w:eastAsia="宋体"/>
          <w:b w:val="0"/>
          <w:sz w:val="21"/>
        </w:rPr>
        <w:t>[3] KARNDACHARUK A, WILSON D J, DUNN R. A review of the evolution of shared (street) space concepts in urban environments[J]. Transport Reviews, 2014, 34(2): 190-220.</w:t>
      </w:r>
    </w:p>
    <w:p>
      <w:pPr>
        <w:spacing w:after="60" w:line="324" w:lineRule="auto"/>
        <w:ind w:left="510" w:hanging="510"/>
      </w:pPr>
      <w:r>
        <w:rPr>
          <w:rFonts w:ascii="Times New Roman" w:hAnsi="Times New Roman" w:eastAsia="宋体"/>
          <w:b w:val="0"/>
          <w:sz w:val="21"/>
        </w:rPr>
        <w:t>[4] LAURESHYN A, SVENSSON A, HYDEN C. Evaluation of traffic safety, based on micro-level behavioural data: theoretical framework and first implementation[J]. Accident Analysis &amp; Prevention, 2010, 42(6): 1637-1646.</w:t>
      </w:r>
    </w:p>
    <w:p>
      <w:pPr>
        <w:spacing w:after="60" w:line="324" w:lineRule="auto"/>
        <w:ind w:left="510" w:hanging="510"/>
      </w:pPr>
      <w:r>
        <w:rPr>
          <w:rFonts w:ascii="Times New Roman" w:hAnsi="Times New Roman" w:eastAsia="宋体"/>
          <w:b w:val="0"/>
          <w:sz w:val="21"/>
        </w:rPr>
        <w:t>[5] JOHNSSON C, LAURESHYN A, DE CEUNYNCK T. In search of surrogate safety indicators for vulnerable road users: a review of surrogate safety indicators[J]. Transport Reviews, 2018, 38(6): 765-785.</w:t>
      </w:r>
    </w:p>
    <w:p>
      <w:pPr>
        <w:spacing w:after="60" w:line="324" w:lineRule="auto"/>
        <w:ind w:left="510" w:hanging="510"/>
      </w:pPr>
      <w:r>
        <w:rPr>
          <w:rFonts w:ascii="Times New Roman" w:hAnsi="Times New Roman" w:eastAsia="宋体"/>
          <w:b w:val="0"/>
          <w:sz w:val="21"/>
        </w:rPr>
        <w:t>[6] MIAO L, LIU F, DENG Y. Analysis of traffic conflicts on slow-moving shared paths in Shenzhen, China[J]. Sustainability, 2025, 17(9): 4095.</w:t>
      </w:r>
    </w:p>
    <w:p>
      <w:pPr>
        <w:spacing w:after="60" w:line="324" w:lineRule="auto"/>
        <w:ind w:left="510" w:hanging="510"/>
      </w:pPr>
      <w:r>
        <w:rPr>
          <w:rFonts w:ascii="Times New Roman" w:hAnsi="Times New Roman" w:eastAsia="宋体"/>
          <w:b w:val="0"/>
          <w:sz w:val="21"/>
        </w:rPr>
        <w:t>[7] 郑玉冰, 马羊, 程建川, 等. 基于轨迹数据的非机动车道内冲突事件自动识别与可视化[J]. 中国公路学报, 2022, 35(1): 71-84.</w:t>
      </w:r>
    </w:p>
    <w:p>
      <w:pPr>
        <w:spacing w:after="60" w:line="324" w:lineRule="auto"/>
        <w:ind w:left="510" w:hanging="510"/>
      </w:pPr>
      <w:r>
        <w:rPr>
          <w:rFonts w:ascii="Times New Roman" w:hAnsi="Times New Roman" w:eastAsia="宋体"/>
          <w:b w:val="0"/>
          <w:sz w:val="21"/>
        </w:rPr>
        <w:t>[8] KELLSTEDT D K, SPENGLER J O, MADDOCK J E. Comparing perceived and objective measures of bikeability on a university campus: a case study[J]. SAGE Open, 2021, 11(2): 21582440211018685.</w:t>
      </w:r>
    </w:p>
    <w:p>
      <w:pPr>
        <w:spacing w:after="60" w:line="324" w:lineRule="auto"/>
        <w:ind w:left="510" w:hanging="510"/>
      </w:pPr>
      <w:r>
        <w:rPr>
          <w:rFonts w:ascii="Times New Roman" w:hAnsi="Times New Roman" w:eastAsia="宋体"/>
          <w:b w:val="0"/>
          <w:sz w:val="21"/>
        </w:rPr>
        <w:t>[9] 李琳, 叶宇, 陈泳. 城市步行安全及其环境影响要素研究综述与展望[J]. 风景园林, 2025, 32(2): 86-94.</w:t>
      </w:r>
    </w:p>
    <w:p>
      <w:pPr>
        <w:spacing w:after="60" w:line="324" w:lineRule="auto"/>
        <w:ind w:left="510" w:hanging="510"/>
      </w:pPr>
      <w:r>
        <w:rPr>
          <w:rFonts w:ascii="Times New Roman" w:hAnsi="Times New Roman" w:eastAsia="宋体"/>
          <w:b w:val="0"/>
          <w:sz w:val="21"/>
        </w:rPr>
        <w:t>[10] 李聪颖, 张洪涛, 李坤, 等. 城市自行车交通系统出行品质评价方法综述[J]. 交通运输工程学报, 2024, 24(6): 43-65.</w:t>
      </w:r>
    </w:p>
    <w:p>
      <w:pPr>
        <w:spacing w:after="60" w:line="324" w:lineRule="auto"/>
        <w:ind w:left="510" w:hanging="510"/>
      </w:pPr>
      <w:r>
        <w:rPr>
          <w:rFonts w:ascii="Times New Roman" w:hAnsi="Times New Roman" w:eastAsia="宋体"/>
          <w:b w:val="0"/>
          <w:sz w:val="21"/>
        </w:rPr>
        <w:t>[11] HASSANPOUR A, BIGAZZI A. Clustering micromobility devices based on speed and comfort[J]. Findings, 2024: 123208.</w:t>
      </w:r>
    </w:p>
    <w:p>
      <w:pPr>
        <w:spacing w:after="60" w:line="324" w:lineRule="auto"/>
        <w:ind w:left="510" w:hanging="510"/>
      </w:pPr>
      <w:r>
        <w:rPr>
          <w:rFonts w:ascii="Times New Roman" w:hAnsi="Times New Roman" w:eastAsia="宋体"/>
          <w:b w:val="0"/>
          <w:sz w:val="21"/>
        </w:rPr>
        <w:t>[12] AJZEN I. The theory of planned behavior[J]. Organizational Behavior and Human Decision Processes, 1991, 50(2): 179-211.</w:t>
      </w:r>
    </w:p>
    <w:p>
      <w:pPr>
        <w:spacing w:after="60" w:line="324" w:lineRule="auto"/>
        <w:ind w:left="510" w:hanging="510"/>
      </w:pPr>
      <w:r>
        <w:rPr>
          <w:rFonts w:ascii="Times New Roman" w:hAnsi="Times New Roman" w:eastAsia="宋体"/>
          <w:b w:val="0"/>
          <w:sz w:val="21"/>
        </w:rPr>
        <w:t>[13] DAVIS F D. Perceived usefulness, perceived ease of use, and user acceptance of information technology[J]. MIS Quarterly, 1989, 13(3): 319-340.</w:t>
      </w:r>
    </w:p>
    <w:p>
      <w:pPr>
        <w:spacing w:after="60" w:line="324" w:lineRule="auto"/>
        <w:ind w:left="510" w:hanging="510"/>
      </w:pPr>
      <w:r>
        <w:rPr>
          <w:rFonts w:ascii="Times New Roman" w:hAnsi="Times New Roman" w:eastAsia="宋体"/>
          <w:b w:val="0"/>
          <w:sz w:val="21"/>
        </w:rPr>
        <w:t>[14] SLOVIC P. Perception of risk[J]. Science, 1987, 236(4799): 280-285.</w:t>
      </w:r>
    </w:p>
    <w:p>
      <w:pPr>
        <w:spacing w:after="60" w:line="324" w:lineRule="auto"/>
        <w:ind w:left="510" w:hanging="510"/>
      </w:pPr>
      <w:r>
        <w:rPr>
          <w:rFonts w:ascii="Times New Roman" w:hAnsi="Times New Roman" w:eastAsia="宋体"/>
          <w:b w:val="0"/>
          <w:sz w:val="21"/>
        </w:rPr>
        <w:t>[15] CHEN H, GUO Y, LI L. Promoting sustainable mobility on campus: uncovering the behavioral mechanisms behind non-compliant e-bike use among university students[J]. Sustainability, 2025, 17(15): 7147.</w:t>
      </w:r>
    </w:p>
    <w:p>
      <w:pPr>
        <w:spacing w:after="60" w:line="324" w:lineRule="auto"/>
        <w:ind w:left="510" w:hanging="510"/>
      </w:pPr>
      <w:r>
        <w:rPr>
          <w:rFonts w:ascii="Times New Roman" w:hAnsi="Times New Roman" w:eastAsia="宋体"/>
          <w:b w:val="0"/>
          <w:sz w:val="21"/>
        </w:rPr>
        <w:t>[16] 裴玉龙, 龙钰, 马丹. 交通安全意识对非机动车骑行者危险骑行行为的影响研究[J]. 交通信息与安全, 2024, 42(1): 49-58.</w:t>
      </w:r>
    </w:p>
    <w:p>
      <w:pPr>
        <w:spacing w:after="60" w:line="324" w:lineRule="auto"/>
        <w:ind w:left="510" w:hanging="510"/>
      </w:pPr>
      <w:r>
        <w:rPr>
          <w:rFonts w:ascii="Times New Roman" w:hAnsi="Times New Roman" w:eastAsia="宋体"/>
          <w:b w:val="0"/>
          <w:sz w:val="21"/>
        </w:rPr>
        <w:t>[17] VON STÜLPNAGEL R, RINTELEN H. A matter of space and perspective: cyclists', car drivers' and pedestrians' assumptions about subjective safety in shared traffic situations[J]. Transportation Research Part A: Policy and Practice, 2024, 179: 103941.</w:t>
      </w:r>
    </w:p>
    <w:p>
      <w:pPr>
        <w:spacing w:after="60" w:line="324" w:lineRule="auto"/>
        <w:ind w:left="510" w:hanging="510"/>
      </w:pPr>
      <w:r>
        <w:rPr>
          <w:rFonts w:ascii="Times New Roman" w:hAnsi="Times New Roman" w:eastAsia="宋体"/>
          <w:b w:val="0"/>
          <w:sz w:val="21"/>
        </w:rPr>
        <w:t>[18] 吕能超, 王玉刚, 周颖, 等. 道路交通安全分析与评价方法综述[J]. 中国公路学报, 2023, 36(4): 183-201.</w:t>
      </w:r>
    </w:p>
    <w:p>
      <w:pPr>
        <w:spacing w:after="60" w:line="324" w:lineRule="auto"/>
        <w:ind w:left="510" w:hanging="510"/>
      </w:pPr>
      <w:r>
        <w:rPr>
          <w:rFonts w:ascii="Times New Roman" w:hAnsi="Times New Roman" w:eastAsia="宋体"/>
          <w:b w:val="0"/>
          <w:sz w:val="21"/>
        </w:rPr>
        <w:t>[19] KANO N, SERAKU N, TAKAHASHI F, et al. Attractive quality and must-be quality[J]. Journal of the Japanese Society for Quality Control, 1984, 14(2): 147-156.</w:t>
      </w:r>
    </w:p>
    <w:p>
      <w:pPr>
        <w:spacing w:after="60" w:line="324" w:lineRule="auto"/>
        <w:ind w:left="510" w:hanging="510"/>
      </w:pPr>
      <w:r>
        <w:rPr>
          <w:rFonts w:ascii="Times New Roman" w:hAnsi="Times New Roman" w:eastAsia="宋体"/>
          <w:b w:val="0"/>
          <w:sz w:val="21"/>
        </w:rPr>
        <w:t>[20] BROOKE J. SUS: a “quick and dirty” usability scale[M]//JORDAN P W, THOMAS B, WEERDMEESTER B A, et al. Usability evaluation in industry. London: Taylor &amp; Francis, 1996: 189-194.</w:t>
      </w:r>
    </w:p>
    <w:p>
      <w:pPr>
        <w:spacing w:before="360" w:after="80" w:line="312" w:lineRule="auto"/>
      </w:pPr>
      <w:r>
        <w:rPr>
          <w:rFonts w:ascii="Times New Roman" w:hAnsi="Times New Roman" w:eastAsia="黑体"/>
          <w:b/>
          <w:color w:val="1F3A2E"/>
          <w:sz w:val="28"/>
        </w:rPr>
        <w:t>四　经费信息</w:t>
      </w:r>
    </w:p>
    <w:p>
      <w:pPr>
        <w:spacing w:after="160" w:line="312" w:lineRule="auto"/>
      </w:pPr>
      <w:r>
        <w:rPr>
          <w:rFonts w:ascii="Times New Roman" w:hAnsi="Times New Roman" w:eastAsia="楷体"/>
          <w:b w:val="0"/>
          <w:color w:val="595F5A"/>
          <w:sz w:val="21"/>
        </w:rPr>
        <w:t>【对应系统"经费信息"页。单位：元，填写数字并保留两位小数；各分项之和须等于合计 20000.00 元。系统只需填写"金额"一列，"支出用途说明"供填报时自查与答辩备查之用。】</w:t>
      </w:r>
    </w:p>
    <w:tbl>
      <w:tblPr>
        <w:tblStyle w:val="TableGrid"/>
        <w:tblW w:type="auto" w:w="0"/>
        <w:jc w:val="center"/>
        <w:tblLook w:firstColumn="1" w:firstRow="1" w:lastColumn="0" w:lastRow="0" w:noHBand="0" w:noVBand="1" w:val="04A0"/>
      </w:tblPr>
      <w:tblGrid>
        <w:gridCol w:w="3097"/>
        <w:gridCol w:w="3097"/>
        <w:gridCol w:w="3097"/>
      </w:tblGrid>
      <w:tr>
        <w:tc>
          <w:tcPr>
            <w:tcW w:type="dxa" w:w="2608"/>
            <w:shd w:val="clear" w:fill="E8EBDE"/>
          </w:tcPr>
          <w:p>
            <w:pPr>
              <w:jc w:val="center"/>
            </w:pPr>
            <w:r/>
            <w:r>
              <w:rPr>
                <w:rFonts w:ascii="Times New Roman" w:hAnsi="Times New Roman" w:eastAsia="黑体"/>
                <w:b/>
                <w:sz w:val="21"/>
              </w:rPr>
              <w:t>经费科目</w:t>
            </w:r>
          </w:p>
        </w:tc>
        <w:tc>
          <w:tcPr>
            <w:tcW w:type="dxa" w:w="1474"/>
            <w:shd w:val="clear" w:fill="E8EBDE"/>
          </w:tcPr>
          <w:p>
            <w:pPr>
              <w:jc w:val="center"/>
            </w:pPr>
            <w:r/>
            <w:r>
              <w:rPr>
                <w:rFonts w:ascii="Times New Roman" w:hAnsi="Times New Roman" w:eastAsia="黑体"/>
                <w:b/>
                <w:sz w:val="21"/>
              </w:rPr>
              <w:t>金额（元）</w:t>
            </w:r>
          </w:p>
        </w:tc>
        <w:tc>
          <w:tcPr>
            <w:tcW w:type="dxa" w:w="4649"/>
            <w:shd w:val="clear" w:fill="E8EBDE"/>
          </w:tcPr>
          <w:p>
            <w:pPr>
              <w:jc w:val="center"/>
            </w:pPr>
            <w:r/>
            <w:r>
              <w:rPr>
                <w:rFonts w:ascii="Times New Roman" w:hAnsi="Times New Roman" w:eastAsia="黑体"/>
                <w:b/>
                <w:sz w:val="21"/>
              </w:rPr>
              <w:t>支出用途说明</w:t>
            </w:r>
          </w:p>
        </w:tc>
      </w:tr>
      <w:tr>
        <w:tc>
          <w:tcPr>
            <w:tcW w:type="dxa" w:w="2608"/>
          </w:tcPr>
          <w:p>
            <w:pPr>
              <w:spacing w:line="288" w:lineRule="auto"/>
            </w:pPr>
            <w:r/>
            <w:r>
              <w:rPr>
                <w:rFonts w:ascii="Times New Roman" w:hAnsi="Times New Roman" w:eastAsia="宋体"/>
                <w:b w:val="0"/>
                <w:sz w:val="21"/>
              </w:rPr>
              <w:t>资料费</w:t>
            </w:r>
          </w:p>
        </w:tc>
        <w:tc>
          <w:tcPr>
            <w:tcW w:type="dxa" w:w="1474"/>
          </w:tcPr>
          <w:p>
            <w:pPr>
              <w:spacing w:line="288" w:lineRule="auto"/>
              <w:jc w:val="center"/>
            </w:pPr>
            <w:r/>
            <w:r>
              <w:rPr>
                <w:rFonts w:ascii="Times New Roman" w:hAnsi="Times New Roman" w:eastAsia="宋体"/>
                <w:b w:val="0"/>
                <w:sz w:val="21"/>
              </w:rPr>
              <w:t>2000.00</w:t>
            </w:r>
          </w:p>
        </w:tc>
        <w:tc>
          <w:tcPr>
            <w:tcW w:type="dxa" w:w="4649"/>
          </w:tcPr>
          <w:p>
            <w:pPr>
              <w:spacing w:line="288" w:lineRule="auto"/>
            </w:pPr>
            <w:r/>
            <w:r>
              <w:rPr>
                <w:rFonts w:ascii="Times New Roman" w:hAnsi="Times New Roman" w:eastAsia="宋体"/>
                <w:b w:val="0"/>
                <w:sz w:val="21"/>
              </w:rPr>
              <w:t>中外文数据库检索与文献传递、国家标准与行业规范购置、专业图书资料</w:t>
            </w:r>
          </w:p>
        </w:tc>
      </w:tr>
      <w:tr>
        <w:tc>
          <w:tcPr>
            <w:tcW w:type="dxa" w:w="2608"/>
          </w:tcPr>
          <w:p>
            <w:pPr>
              <w:spacing w:line="288" w:lineRule="auto"/>
            </w:pPr>
            <w:r/>
            <w:r>
              <w:rPr>
                <w:rFonts w:ascii="Times New Roman" w:hAnsi="Times New Roman" w:eastAsia="宋体"/>
                <w:b w:val="0"/>
                <w:sz w:val="21"/>
              </w:rPr>
              <w:t>会议费/差旅费/国际合作与交流费</w:t>
            </w:r>
          </w:p>
        </w:tc>
        <w:tc>
          <w:tcPr>
            <w:tcW w:type="dxa" w:w="1474"/>
          </w:tcPr>
          <w:p>
            <w:pPr>
              <w:spacing w:line="288" w:lineRule="auto"/>
              <w:jc w:val="center"/>
            </w:pPr>
            <w:r/>
            <w:r>
              <w:rPr>
                <w:rFonts w:ascii="Times New Roman" w:hAnsi="Times New Roman" w:eastAsia="宋体"/>
                <w:b w:val="0"/>
                <w:sz w:val="21"/>
              </w:rPr>
              <w:t>2500.00</w:t>
            </w:r>
          </w:p>
        </w:tc>
        <w:tc>
          <w:tcPr>
            <w:tcW w:type="dxa" w:w="4649"/>
          </w:tcPr>
          <w:p>
            <w:pPr>
              <w:spacing w:line="288" w:lineRule="auto"/>
            </w:pPr>
            <w:r/>
            <w:r>
              <w:rPr>
                <w:rFonts w:ascii="Times New Roman" w:hAnsi="Times New Roman" w:eastAsia="宋体"/>
                <w:b w:val="0"/>
                <w:sz w:val="21"/>
              </w:rPr>
              <w:t>省内高校实地踏勘与调研差旅、学术会议注册与交流</w:t>
            </w:r>
          </w:p>
        </w:tc>
      </w:tr>
      <w:tr>
        <w:tc>
          <w:tcPr>
            <w:tcW w:type="dxa" w:w="2608"/>
          </w:tcPr>
          <w:p>
            <w:pPr>
              <w:spacing w:line="288" w:lineRule="auto"/>
            </w:pPr>
            <w:r/>
            <w:r>
              <w:rPr>
                <w:rFonts w:ascii="Times New Roman" w:hAnsi="Times New Roman" w:eastAsia="宋体"/>
                <w:b w:val="0"/>
                <w:sz w:val="21"/>
              </w:rPr>
              <w:t>设备费</w:t>
            </w:r>
          </w:p>
        </w:tc>
        <w:tc>
          <w:tcPr>
            <w:tcW w:type="dxa" w:w="1474"/>
          </w:tcPr>
          <w:p>
            <w:pPr>
              <w:spacing w:line="288" w:lineRule="auto"/>
              <w:jc w:val="center"/>
            </w:pPr>
            <w:r/>
            <w:r>
              <w:rPr>
                <w:rFonts w:ascii="Times New Roman" w:hAnsi="Times New Roman" w:eastAsia="宋体"/>
                <w:b w:val="0"/>
                <w:sz w:val="21"/>
              </w:rPr>
              <w:t>1500.00</w:t>
            </w:r>
          </w:p>
        </w:tc>
        <w:tc>
          <w:tcPr>
            <w:tcW w:type="dxa" w:w="4649"/>
          </w:tcPr>
          <w:p>
            <w:pPr>
              <w:spacing w:line="288" w:lineRule="auto"/>
            </w:pPr>
            <w:r/>
            <w:r>
              <w:rPr>
                <w:rFonts w:ascii="Times New Roman" w:hAnsi="Times New Roman" w:eastAsia="宋体"/>
                <w:b w:val="0"/>
                <w:sz w:val="21"/>
              </w:rPr>
              <w:t>视频采集设备配件（存储卡、固定支架、移动电源）租赁及耗材</w:t>
            </w:r>
          </w:p>
        </w:tc>
      </w:tr>
      <w:tr>
        <w:tc>
          <w:tcPr>
            <w:tcW w:type="dxa" w:w="2608"/>
          </w:tcPr>
          <w:p>
            <w:pPr>
              <w:spacing w:line="288" w:lineRule="auto"/>
            </w:pPr>
            <w:r/>
            <w:r>
              <w:rPr>
                <w:rFonts w:ascii="Times New Roman" w:hAnsi="Times New Roman" w:eastAsia="宋体"/>
                <w:b w:val="0"/>
                <w:sz w:val="21"/>
              </w:rPr>
              <w:t>专家咨询费</w:t>
            </w:r>
          </w:p>
        </w:tc>
        <w:tc>
          <w:tcPr>
            <w:tcW w:type="dxa" w:w="1474"/>
          </w:tcPr>
          <w:p>
            <w:pPr>
              <w:spacing w:line="288" w:lineRule="auto"/>
              <w:jc w:val="center"/>
            </w:pPr>
            <w:r/>
            <w:r>
              <w:rPr>
                <w:rFonts w:ascii="Times New Roman" w:hAnsi="Times New Roman" w:eastAsia="宋体"/>
                <w:b w:val="0"/>
                <w:sz w:val="21"/>
              </w:rPr>
              <w:t>3000.00</w:t>
            </w:r>
          </w:p>
        </w:tc>
        <w:tc>
          <w:tcPr>
            <w:tcW w:type="dxa" w:w="4649"/>
          </w:tcPr>
          <w:p>
            <w:pPr>
              <w:spacing w:line="288" w:lineRule="auto"/>
            </w:pPr>
            <w:r/>
            <w:r>
              <w:rPr>
                <w:rFonts w:ascii="Times New Roman" w:hAnsi="Times New Roman" w:eastAsia="宋体"/>
                <w:b w:val="0"/>
                <w:sz w:val="21"/>
              </w:rPr>
              <w:t>两轮德尔菲专家咨询、量表内容效度评议、设计方案专家评审</w:t>
            </w:r>
          </w:p>
        </w:tc>
      </w:tr>
      <w:tr>
        <w:tc>
          <w:tcPr>
            <w:tcW w:type="dxa" w:w="2608"/>
          </w:tcPr>
          <w:p>
            <w:pPr>
              <w:spacing w:line="288" w:lineRule="auto"/>
            </w:pPr>
            <w:r/>
            <w:r>
              <w:rPr>
                <w:rFonts w:ascii="Times New Roman" w:hAnsi="Times New Roman" w:eastAsia="宋体"/>
                <w:b w:val="0"/>
                <w:sz w:val="21"/>
              </w:rPr>
              <w:t>劳务费</w:t>
            </w:r>
          </w:p>
        </w:tc>
        <w:tc>
          <w:tcPr>
            <w:tcW w:type="dxa" w:w="1474"/>
          </w:tcPr>
          <w:p>
            <w:pPr>
              <w:spacing w:line="288" w:lineRule="auto"/>
              <w:jc w:val="center"/>
            </w:pPr>
            <w:r/>
            <w:r>
              <w:rPr>
                <w:rFonts w:ascii="Times New Roman" w:hAnsi="Times New Roman" w:eastAsia="宋体"/>
                <w:b w:val="0"/>
                <w:sz w:val="21"/>
              </w:rPr>
              <w:t>6000.00</w:t>
            </w:r>
          </w:p>
        </w:tc>
        <w:tc>
          <w:tcPr>
            <w:tcW w:type="dxa" w:w="4649"/>
          </w:tcPr>
          <w:p>
            <w:pPr>
              <w:spacing w:line="288" w:lineRule="auto"/>
            </w:pPr>
            <w:r/>
            <w:r>
              <w:rPr>
                <w:rFonts w:ascii="Times New Roman" w:hAnsi="Times New Roman" w:eastAsia="宋体"/>
                <w:b w:val="0"/>
                <w:sz w:val="21"/>
              </w:rPr>
              <w:t>问卷被试、深度访谈、参与式工作坊、可用性测试参与者报酬及视频标注助研劳务</w:t>
            </w:r>
          </w:p>
        </w:tc>
      </w:tr>
      <w:tr>
        <w:tc>
          <w:tcPr>
            <w:tcW w:type="dxa" w:w="2608"/>
          </w:tcPr>
          <w:p>
            <w:pPr>
              <w:spacing w:line="288" w:lineRule="auto"/>
            </w:pPr>
            <w:r/>
            <w:r>
              <w:rPr>
                <w:rFonts w:ascii="Times New Roman" w:hAnsi="Times New Roman" w:eastAsia="宋体"/>
                <w:b w:val="0"/>
                <w:sz w:val="21"/>
              </w:rPr>
              <w:t>印刷出版费</w:t>
            </w:r>
          </w:p>
        </w:tc>
        <w:tc>
          <w:tcPr>
            <w:tcW w:type="dxa" w:w="1474"/>
          </w:tcPr>
          <w:p>
            <w:pPr>
              <w:spacing w:line="288" w:lineRule="auto"/>
              <w:jc w:val="center"/>
            </w:pPr>
            <w:r/>
            <w:r>
              <w:rPr>
                <w:rFonts w:ascii="Times New Roman" w:hAnsi="Times New Roman" w:eastAsia="宋体"/>
                <w:b w:val="0"/>
                <w:sz w:val="21"/>
              </w:rPr>
              <w:t>2000.00</w:t>
            </w:r>
          </w:p>
        </w:tc>
        <w:tc>
          <w:tcPr>
            <w:tcW w:type="dxa" w:w="4649"/>
          </w:tcPr>
          <w:p>
            <w:pPr>
              <w:spacing w:line="288" w:lineRule="auto"/>
            </w:pPr>
            <w:r/>
            <w:r>
              <w:rPr>
                <w:rFonts w:ascii="Times New Roman" w:hAnsi="Times New Roman" w:eastAsia="宋体"/>
                <w:b w:val="0"/>
                <w:sz w:val="21"/>
              </w:rPr>
              <w:t>问卷与访谈材料印制、研究报告印装、阶段性成果发表版面费</w:t>
            </w:r>
          </w:p>
        </w:tc>
      </w:tr>
      <w:tr>
        <w:tc>
          <w:tcPr>
            <w:tcW w:type="dxa" w:w="2608"/>
          </w:tcPr>
          <w:p>
            <w:pPr>
              <w:spacing w:line="288" w:lineRule="auto"/>
            </w:pPr>
            <w:r/>
            <w:r>
              <w:rPr>
                <w:rFonts w:ascii="Times New Roman" w:hAnsi="Times New Roman" w:eastAsia="宋体"/>
                <w:b w:val="0"/>
                <w:sz w:val="21"/>
              </w:rPr>
              <w:t>其它支出</w:t>
            </w:r>
          </w:p>
        </w:tc>
        <w:tc>
          <w:tcPr>
            <w:tcW w:type="dxa" w:w="1474"/>
          </w:tcPr>
          <w:p>
            <w:pPr>
              <w:spacing w:line="288" w:lineRule="auto"/>
              <w:jc w:val="center"/>
            </w:pPr>
            <w:r/>
            <w:r>
              <w:rPr>
                <w:rFonts w:ascii="Times New Roman" w:hAnsi="Times New Roman" w:eastAsia="宋体"/>
                <w:b w:val="0"/>
                <w:sz w:val="21"/>
              </w:rPr>
              <w:t>1000.00</w:t>
            </w:r>
          </w:p>
        </w:tc>
        <w:tc>
          <w:tcPr>
            <w:tcW w:type="dxa" w:w="4649"/>
          </w:tcPr>
          <w:p>
            <w:pPr>
              <w:spacing w:line="288" w:lineRule="auto"/>
            </w:pPr>
            <w:r/>
            <w:r>
              <w:rPr>
                <w:rFonts w:ascii="Times New Roman" w:hAnsi="Times New Roman" w:eastAsia="宋体"/>
                <w:b w:val="0"/>
                <w:sz w:val="21"/>
              </w:rPr>
              <w:t>AIGC场景生成算力与软件订阅、数据分析软件、原型打样材料</w:t>
            </w:r>
          </w:p>
        </w:tc>
      </w:tr>
      <w:tr>
        <w:tc>
          <w:tcPr>
            <w:tcW w:type="dxa" w:w="2608"/>
          </w:tcPr>
          <w:p>
            <w:pPr>
              <w:spacing w:line="288" w:lineRule="auto"/>
            </w:pPr>
            <w:r/>
            <w:r>
              <w:rPr>
                <w:rFonts w:ascii="Times New Roman" w:hAnsi="Times New Roman" w:eastAsia="宋体"/>
                <w:b w:val="0"/>
                <w:sz w:val="21"/>
              </w:rPr>
              <w:t>间接费用</w:t>
            </w:r>
          </w:p>
        </w:tc>
        <w:tc>
          <w:tcPr>
            <w:tcW w:type="dxa" w:w="1474"/>
          </w:tcPr>
          <w:p>
            <w:pPr>
              <w:spacing w:line="288" w:lineRule="auto"/>
              <w:jc w:val="center"/>
            </w:pPr>
            <w:r/>
            <w:r>
              <w:rPr>
                <w:rFonts w:ascii="Times New Roman" w:hAnsi="Times New Roman" w:eastAsia="宋体"/>
                <w:b w:val="0"/>
                <w:sz w:val="21"/>
              </w:rPr>
              <w:t>2000.00</w:t>
            </w:r>
          </w:p>
        </w:tc>
        <w:tc>
          <w:tcPr>
            <w:tcW w:type="dxa" w:w="4649"/>
          </w:tcPr>
          <w:p>
            <w:pPr>
              <w:spacing w:line="288" w:lineRule="auto"/>
            </w:pPr>
            <w:r/>
            <w:r>
              <w:rPr>
                <w:rFonts w:ascii="Times New Roman" w:hAnsi="Times New Roman" w:eastAsia="宋体"/>
                <w:b w:val="0"/>
                <w:sz w:val="21"/>
              </w:rPr>
              <w:t>依托单位管理成本及绩效支出，占直接费用的11.1%</w:t>
            </w:r>
          </w:p>
        </w:tc>
      </w:tr>
      <w:tr>
        <w:tc>
          <w:tcPr>
            <w:tcW w:type="dxa" w:w="2608"/>
            <w:shd w:val="clear" w:fill="F2F4EC"/>
          </w:tcPr>
          <w:p>
            <w:pPr>
              <w:spacing w:line="288" w:lineRule="auto"/>
              <w:jc w:val="center"/>
            </w:pPr>
            <w:r/>
            <w:r>
              <w:rPr>
                <w:rFonts w:ascii="Times New Roman" w:hAnsi="Times New Roman" w:eastAsia="黑体"/>
                <w:b/>
                <w:sz w:val="21"/>
              </w:rPr>
              <w:t>合　计</w:t>
            </w:r>
          </w:p>
        </w:tc>
        <w:tc>
          <w:tcPr>
            <w:tcW w:type="dxa" w:w="1474"/>
            <w:shd w:val="clear" w:fill="F2F4EC"/>
          </w:tcPr>
          <w:p>
            <w:pPr>
              <w:spacing w:line="288" w:lineRule="auto"/>
              <w:jc w:val="center"/>
            </w:pPr>
            <w:r/>
            <w:r>
              <w:rPr>
                <w:rFonts w:ascii="Times New Roman" w:hAnsi="Times New Roman" w:eastAsia="黑体"/>
                <w:b/>
                <w:sz w:val="21"/>
              </w:rPr>
              <w:t>20000.00</w:t>
            </w:r>
          </w:p>
        </w:tc>
        <w:tc>
          <w:tcPr>
            <w:tcW w:type="dxa" w:w="4649"/>
            <w:shd w:val="clear" w:fill="F2F4EC"/>
          </w:tcPr>
          <w:p>
            <w:pPr>
              <w:spacing w:line="288" w:lineRule="auto"/>
            </w:pPr>
            <w:r/>
            <w:r>
              <w:rPr>
                <w:rFonts w:ascii="Times New Roman" w:hAnsi="Times New Roman" w:eastAsia="黑体"/>
                <w:b/>
                <w:sz w:val="21"/>
              </w:rPr>
              <w:t>直接费用 18000.00 元，间接费用 2000.00 元</w:t>
            </w:r>
          </w:p>
        </w:tc>
      </w:tr>
    </w:tbl>
    <w:p>
      <w:pPr>
        <w:spacing w:before="200" w:after="60" w:line="336" w:lineRule="auto"/>
      </w:pPr>
      <w:r>
        <w:rPr>
          <w:rFonts w:ascii="Times New Roman" w:hAnsi="Times New Roman" w:eastAsia="黑体"/>
          <w:b/>
          <w:sz w:val="24"/>
        </w:rPr>
        <w:t>预算编制说明</w:t>
      </w:r>
    </w:p>
    <w:p>
      <w:pPr>
        <w:spacing w:before="0" w:after="120" w:line="360" w:lineRule="auto"/>
        <w:ind w:firstLine="480"/>
      </w:pPr>
      <w:r>
        <w:rPr>
          <w:rFonts w:ascii="Times New Roman" w:hAnsi="Times New Roman" w:eastAsia="宋体"/>
          <w:b w:val="0"/>
          <w:sz w:val="24"/>
        </w:rPr>
        <w:t>本预算依据研究报告所载的实际工作量测算。劳务费占比最高（30.0%），与本课题以人为对象的数据采集规模相匹配：子任务①需132份问卷与53人次访谈，子任务②需232份有效问卷，子任务③需870条场景评分、30人次深度访谈与3场参与式工作坊，子任务④需86份Kano问卷与26人可用性测试，另有视频标注双人独立作业的助研劳务。专家咨询费用于两轮德尔菲专家咨询、量表内容效度评议与设计方案专家评审。设备费仅列视频采集配件的租赁与耗材，不购置大型设备。间接费用取2000.00元，占直接费用的11.1%，未超过省级社科基金的计提上限。</w:t>
      </w:r>
    </w:p>
    <w:p>
      <w:pPr>
        <w:spacing w:before="360" w:after="80" w:line="312" w:lineRule="auto"/>
      </w:pPr>
      <w:r>
        <w:rPr>
          <w:rFonts w:ascii="Times New Roman" w:hAnsi="Times New Roman" w:eastAsia="黑体"/>
          <w:b/>
          <w:color w:val="1F3A2E"/>
          <w:sz w:val="28"/>
        </w:rPr>
        <w:t>五　可随申报材料提交的图表</w:t>
      </w:r>
    </w:p>
    <w:p>
      <w:pPr>
        <w:spacing w:after="160" w:line="312" w:lineRule="auto"/>
      </w:pPr>
      <w:r>
        <w:rPr>
          <w:rFonts w:ascii="Times New Roman" w:hAnsi="Times New Roman" w:eastAsia="楷体"/>
          <w:b w:val="0"/>
          <w:color w:val="595F5A"/>
          <w:sz w:val="21"/>
        </w:rPr>
        <w:t>【系统的项目选题与内容简介两栏为纯文本输入，通常不支持插图；以下图表建议在需要上传附件、活页或答辩汇报时使用，均可从研究报告中直接取用。】</w:t>
      </w:r>
    </w:p>
    <w:p>
      <w:pPr>
        <w:spacing w:after="40" w:line="336" w:lineRule="auto"/>
        <w:ind w:left="340"/>
      </w:pPr>
      <w:r>
        <w:rPr>
          <w:rFonts w:ascii="Times New Roman" w:hAnsi="Times New Roman" w:eastAsia="黑体"/>
          <w:b/>
          <w:sz w:val="22"/>
        </w:rPr>
        <w:t xml:space="preserve">● 图1  本课题技术路线图　</w:t>
      </w:r>
      <w:r>
        <w:rPr>
          <w:rFonts w:ascii="Times New Roman" w:hAnsi="Times New Roman" w:eastAsia="宋体"/>
          <w:b w:val="0"/>
          <w:sz w:val="22"/>
        </w:rPr>
        <w:t>一页说清"特征识别—模型构建—需求识别—策略生成"四阶段与四项子任务的逐级供给关系，最适合放在活页或汇报首页。</w:t>
      </w:r>
    </w:p>
    <w:p>
      <w:pPr>
        <w:spacing w:after="40" w:line="336" w:lineRule="auto"/>
        <w:ind w:left="340"/>
      </w:pPr>
      <w:r>
        <w:rPr>
          <w:rFonts w:ascii="Times New Roman" w:hAnsi="Times New Roman" w:eastAsia="黑体"/>
          <w:b/>
          <w:sz w:val="22"/>
        </w:rPr>
        <w:t xml:space="preserve">● 图5／图6  行人／骑行者行为决策模型　</w:t>
      </w:r>
      <w:r>
        <w:rPr>
          <w:rFonts w:ascii="Times New Roman" w:hAnsi="Times New Roman" w:eastAsia="宋体"/>
          <w:b w:val="0"/>
          <w:sz w:val="22"/>
        </w:rPr>
        <w:t>两张同坐标同变量的路径图，直观呈现两类慢行主体主导传导链与解释力的差异，用于支撑"差异化引导"这一核心论点。</w:t>
      </w:r>
    </w:p>
    <w:p>
      <w:pPr>
        <w:spacing w:after="40" w:line="336" w:lineRule="auto"/>
        <w:ind w:left="340"/>
      </w:pPr>
      <w:r>
        <w:rPr>
          <w:rFonts w:ascii="Times New Roman" w:hAnsi="Times New Roman" w:eastAsia="黑体"/>
          <w:b/>
          <w:sz w:val="22"/>
        </w:rPr>
        <w:t xml:space="preserve">● 图8  安全引导系统需求清单（简版）　</w:t>
      </w:r>
      <w:r>
        <w:rPr>
          <w:rFonts w:ascii="Times New Roman" w:hAnsi="Times New Roman" w:eastAsia="宋体"/>
          <w:b w:val="0"/>
          <w:sz w:val="22"/>
        </w:rPr>
        <w:t>三类需求自下而上分层，右侧箭头标注"先基础后提升"的实施顺序，适合说明成果的可落地性与分步实施建议。</w:t>
      </w:r>
    </w:p>
    <w:p>
      <w:pPr>
        <w:spacing w:after="40" w:line="336" w:lineRule="auto"/>
        <w:ind w:left="340"/>
      </w:pPr>
      <w:r>
        <w:rPr>
          <w:rFonts w:ascii="Times New Roman" w:hAnsi="Times New Roman" w:eastAsia="黑体"/>
          <w:b/>
          <w:sz w:val="22"/>
        </w:rPr>
        <w:t xml:space="preserve">● 表6  本课题研究设计矩阵　</w:t>
      </w:r>
      <w:r>
        <w:rPr>
          <w:rFonts w:ascii="Times New Roman" w:hAnsi="Times New Roman" w:eastAsia="宋体"/>
          <w:b w:val="0"/>
          <w:sz w:val="22"/>
        </w:rPr>
        <w:t>四项子任务的研究问题、主要方法、数据来源与主要产出一览，可作为内容简介的补充材料，便于评审快速核对工作量。</w:t>
      </w:r>
    </w:p>
    <w:p>
      <w:pPr>
        <w:spacing w:before="360" w:after="80" w:line="312" w:lineRule="auto"/>
      </w:pPr>
      <w:r>
        <w:rPr>
          <w:rFonts w:ascii="Times New Roman" w:hAnsi="Times New Roman" w:eastAsia="黑体"/>
          <w:b/>
          <w:color w:val="1F3A2E"/>
          <w:sz w:val="28"/>
        </w:rPr>
        <w:t>六　填报注意事项</w:t>
      </w:r>
    </w:p>
    <w:p>
      <w:pPr>
        <w:spacing w:after="160" w:line="312" w:lineRule="auto"/>
      </w:pPr>
      <w:r>
        <w:rPr>
          <w:rFonts w:ascii="Times New Roman" w:hAnsi="Times New Roman" w:eastAsia="楷体"/>
          <w:b w:val="0"/>
          <w:color w:val="595F5A"/>
          <w:sz w:val="21"/>
        </w:rPr>
        <w:t>【系统录入前请逐条自查。】</w:t>
      </w:r>
    </w:p>
    <w:p>
      <w:pPr>
        <w:spacing w:after="80" w:line="348" w:lineRule="auto"/>
        <w:ind w:left="510" w:hanging="510"/>
      </w:pPr>
      <w:r>
        <w:rPr>
          <w:rFonts w:ascii="Times New Roman" w:hAnsi="Times New Roman" w:eastAsia="宋体"/>
          <w:b w:val="0"/>
          <w:sz w:val="22"/>
        </w:rPr>
        <w:t>1．本稿的引号、破折号与省略号均为中文全角符号，从Word复制到系统输入框时可能被转为半角或出现乱码，粘贴后请通读一遍；建议先粘贴到记事本转为纯文本，再粘入系统。</w:t>
      </w:r>
    </w:p>
    <w:p>
      <w:pPr>
        <w:spacing w:after="80" w:line="348" w:lineRule="auto"/>
        <w:ind w:left="510" w:hanging="510"/>
      </w:pPr>
      <w:r>
        <w:rPr>
          <w:rFonts w:ascii="Times New Roman" w:hAnsi="Times New Roman" w:eastAsia="宋体"/>
          <w:b w:val="0"/>
          <w:sz w:val="22"/>
        </w:rPr>
        <w:t>2．项目选题与内容简介两栏若系统设有硬性字符上限，可优先压缩"国内外研究现状述评"第（一）至（四）小节中的方法罗列部分，保留三处研究缺口与选题意义。</w:t>
      </w:r>
    </w:p>
    <w:p>
      <w:pPr>
        <w:spacing w:after="80" w:line="348" w:lineRule="auto"/>
        <w:ind w:left="510" w:hanging="510"/>
      </w:pPr>
      <w:r>
        <w:rPr>
          <w:rFonts w:ascii="Times New Roman" w:hAnsi="Times New Roman" w:eastAsia="宋体"/>
          <w:b w:val="0"/>
          <w:sz w:val="22"/>
        </w:rPr>
        <w:t>3．主要参考文献限填20项，本稿已选足20条；若系统按行分栏输入，请逐条录入，不要合并。</w:t>
      </w:r>
    </w:p>
    <w:p>
      <w:pPr>
        <w:spacing w:after="80" w:line="348" w:lineRule="auto"/>
        <w:ind w:left="510" w:hanging="510"/>
      </w:pPr>
      <w:r>
        <w:rPr>
          <w:rFonts w:ascii="Times New Roman" w:hAnsi="Times New Roman" w:eastAsia="宋体"/>
          <w:b w:val="0"/>
          <w:sz w:val="22"/>
        </w:rPr>
        <w:t>4．经费各栏必须填写数字并保留两位小数，未发生的科目填 0.00，不可留空；录入后核对合计栏是否自动显示为 20000.00。</w:t>
      </w:r>
    </w:p>
    <w:p>
      <w:pPr>
        <w:spacing w:after="80" w:line="348" w:lineRule="auto"/>
        <w:ind w:left="510" w:hanging="510"/>
      </w:pPr>
      <w:r>
        <w:rPr>
          <w:rFonts w:ascii="Times New Roman" w:hAnsi="Times New Roman" w:eastAsia="宋体"/>
          <w:b w:val="0"/>
          <w:sz w:val="22"/>
        </w:rPr>
        <w:t>5．课题名称、起止时间、成果形式等基本信息须与纸质申报书完全一致，提交前建议逐栏与申报书对照一次。</w:t>
      </w:r>
    </w:p>
    <w:sectPr w:rsidR="00FC693F" w:rsidRPr="0006063C" w:rsidSect="00034616">
      <w:pgSz w:w="12240" w:h="15840"/>
      <w:pgMar w:top="1247"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