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00" w:before="0"/>
        <w:outlineLvl w:val="0"/>
      </w:pPr>
      <w:r>
        <w:rPr>
          <w:rFonts w:ascii="Calibri" w:cs="Calibri" w:eastAsia="微软雅黑" w:hAnsi="Calibri"/>
          <w:b/>
          <w:bCs/>
          <w:color w:val="1F4E79"/>
          <w:sz w:val="30"/>
          <w:szCs w:val="30"/>
        </w:rPr>
        <w:t xml:space="preserve">长江文化 × 游戏化文化传播 × AI文化IP · 固定文献库 v1.0</w:t>
      </w:r>
    </w:p>
    <w:p>
      <w:pPr>
        <w:spacing w:after="120" w:before="120"/>
      </w:pPr>
      <w:r>
        <w:rPr>
          <w:rFonts w:ascii="Calibri" w:cs="Calibri" w:eastAsia="微软雅黑" w:hAnsi="Calibri"/>
          <w:i/>
          <w:iCs/>
          <w:color w:val="6B6B6B"/>
          <w:sz w:val="18"/>
          <w:szCs w:val="18"/>
        </w:rPr>
        <w:t xml:space="preserve">提示：本文档含自动目录。在 Word 中按 Ctrl+A 全选后按 F9（Mac：Cmd+A 后 fn+F9），选择「更新整个目录」即可生成页码。</w:t>
      </w:r>
    </w:p>
    <w:sdt>
      <w:sdtPr>
        <w:alias w:val="目录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1F4E79" w:sz="14" w:space="10"/>
        </w:pBdr>
        <w:shd w:fill="F2F6FA" w:val="clear"/>
        <w:spacing w:after="40" w:before="140" w:line="290"/>
        <w:ind w:left="340" w:right="200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对应课题：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游戏化文化体验中的文化学习、文化认同与IP传播机制研究——以长江文化武汉段的数字化转译与智能传播为主要实验场域</w:t>
      </w:r>
    </w:p>
    <w:p>
      <w:pPr>
        <w:pBdr>
          <w:left w:val="single" w:color="1F4E79" w:sz="14" w:space="10"/>
        </w:pBdr>
        <w:shd w:fill="F2F6FA" w:val="clear"/>
        <w:spacing w:after="40" w:before="40" w:line="290"/>
        <w:ind w:left="340" w:right="200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检索时间：2026-09-15 ｜ 检索范围：近三年（2023–2026）实证文献 + 领域经典高被引 ｜ 共 106 条</w:t>
      </w:r>
    </w:p>
    <w:p>
      <w:pPr>
        <w:pBdr>
          <w:bottom w:val="single" w:color="C8C8C8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1F4E79" w:sz="8" w:space="4"/>
        </w:pBdr>
        <w:spacing w:after="160" w:before="380"/>
        <w:outlineLvl w:val="1"/>
      </w:pPr>
      <w:r>
        <w:rPr>
          <w:rFonts w:ascii="Calibri" w:cs="Calibri" w:eastAsia="微软雅黑" w:hAnsi="Calibri"/>
          <w:b/>
          <w:bCs/>
          <w:color w:val="1F4E79"/>
          <w:sz w:val="27"/>
          <w:szCs w:val="27"/>
        </w:rPr>
        <w:t xml:space="preserve">0. 先说三件事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第一，这份库不是"综述素材堆"，是按你 CGEL 因果链的位置排的。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你的主线是：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文化资源 → 游戏化转译 → 游戏体验 → 文化学习 → 情感连接 → 文化认同 → 文化行为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每一篇文献我都标了它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落在链条的哪一环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、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对应你哪个 RQ/假设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、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在你论文里到底怎么用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（理论基座 / 直接前序 / 方法范式 / 量表来源 / 对照案例 / 政策依据）。分类不是按学科，是按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功能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——因为你要的是能连续写十年的引用骨架，不是一次性的文献综述。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第二，"近三年"和"经典"承担的是完全不同的任务，不能混着读。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近三年文献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决定你的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研究空白在哪、审稿人会问什么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。这类文献寿命短，2026 年的 Frontiers 论文到 2029 年就只是背景板。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经典高被引文献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决定你的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变量怎么测、机制怎么解释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。Jennett 的沉浸量表、Green &amp; Brock 的叙事运输、Lewis 的角色依恋量表——这些十年后你还在引，而且审稿人认。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所以读法是：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经典用来搭骨架（一次性投入，长期复用），近三年用来找缝隙（每年刷新一次）。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第三，一个必须提醒的判断。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A 组里 2026 年的几篇 Frontiers / MDPI 论文，是你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最直接的前序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，但也是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最容易被审稿人质疑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的一类——横断面问卷 + SEM，无法建立因果。这恰恰是你的机会（你的 PDF 里已经点到了），但反过来说：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你不能把这类文献当理论基座引，只能当"研究现状与缺口"引。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真正的理论基座必须落在 A-3 和 B-3 的经典上。这个区分如果混了，你的论文会显得没有根。</w:t>
      </w:r>
    </w:p>
    <w:p>
      <w:pPr>
        <w:pBdr>
          <w:bottom w:val="single" w:color="C8C8C8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1F4E79" w:sz="8" w:space="4"/>
        </w:pBdr>
        <w:spacing w:after="160" w:before="380"/>
        <w:outlineLvl w:val="1"/>
      </w:pPr>
      <w:r>
        <w:rPr>
          <w:rFonts w:ascii="Calibri" w:cs="Calibri" w:eastAsia="微软雅黑" w:hAnsi="Calibri"/>
          <w:b/>
          <w:bCs/>
          <w:color w:val="1F4E79"/>
          <w:sz w:val="27"/>
          <w:szCs w:val="27"/>
        </w:rPr>
        <w:t xml:space="preserve">1. 分类总览</w:t>
      </w:r>
    </w:p>
    <w:tbl>
      <w:tblPr>
        <w:tblW w:type="dxa" w:w="9070"/>
        <w:tblBorders>
          <w:top w:val="single" w:color="B8C4D0" w:sz="4"/>
          <w:left w:val="single" w:color="B8C4D0" w:sz="4"/>
          <w:bottom w:val="single" w:color="B8C4D0" w:sz="4"/>
          <w:right w:val="single" w:color="B8C4D0" w:sz="4"/>
          <w:insideH w:val="single" w:color="D8DEE5" w:sz="2"/>
          <w:insideV w:val="single" w:color="D8DEE5" w:sz="2"/>
        </w:tblBorders>
      </w:tblPr>
      <w:tblGrid>
        <w:gridCol w:w="691"/>
        <w:gridCol w:w="3214"/>
        <w:gridCol w:w="1836"/>
        <w:gridCol w:w="2411"/>
        <w:gridCol w:w="918"/>
      </w:tblGrid>
      <w:tr>
        <w:trPr>
          <w:tblHeader/>
        </w:trPr>
        <w:tc>
          <w:tcPr>
            <w:tcW w:type="dxa" w:w="691"/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组</w:t>
            </w:r>
          </w:p>
        </w:tc>
        <w:tc>
          <w:tcPr>
            <w:tcW w:type="dxa" w:w="3214"/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主题</w:t>
            </w:r>
          </w:p>
        </w:tc>
        <w:tc>
          <w:tcPr>
            <w:tcW w:type="dxa" w:w="1836"/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对应你的主线</w:t>
            </w:r>
          </w:p>
        </w:tc>
        <w:tc>
          <w:tcPr>
            <w:tcW w:type="dxa" w:w="2411"/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对应 RQ / 假设</w:t>
            </w:r>
          </w:p>
        </w:tc>
        <w:tc>
          <w:tcPr>
            <w:tcW w:type="dxa" w:w="918"/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条数</w:t>
            </w:r>
          </w:p>
        </w:tc>
      </w:tr>
      <w:tr>
        <w:trPr>
          <w:tblHeader w:val="false"/>
        </w:trPr>
        <w:tc>
          <w:tcPr>
            <w:tcW w:type="dxa" w:w="69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321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文化游戏化转译与文化学习</w:t>
            </w:r>
          </w:p>
        </w:tc>
        <w:tc>
          <w:tcPr>
            <w:tcW w:type="dxa" w:w="183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主线一</w:t>
            </w:r>
          </w:p>
        </w:tc>
        <w:tc>
          <w:tcPr>
            <w:tcW w:type="dxa" w:w="241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RQ-A/B/C/D，H1–H5</w:t>
            </w:r>
          </w:p>
        </w:tc>
        <w:tc>
          <w:tcPr>
            <w:tcW w:type="dxa" w:w="91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39</w:t>
            </w:r>
          </w:p>
        </w:tc>
      </w:tr>
      <w:tr>
        <w:trPr>
          <w:tblHeader w:val="false"/>
        </w:trPr>
        <w:tc>
          <w:tcPr>
            <w:tcW w:type="dxa" w:w="691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3214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AI文化角色与智能化传播</w:t>
            </w:r>
          </w:p>
        </w:tc>
        <w:tc>
          <w:tcPr>
            <w:tcW w:type="dxa" w:w="1836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主线二</w:t>
            </w:r>
          </w:p>
        </w:tc>
        <w:tc>
          <w:tcPr>
            <w:tcW w:type="dxa" w:w="2411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RQ-E/F/G，H6–H8</w:t>
            </w:r>
          </w:p>
        </w:tc>
        <w:tc>
          <w:tcPr>
            <w:tcW w:type="dxa" w:w="918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69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321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跨媒介文化IP与虚实外溢</w:t>
            </w:r>
          </w:p>
        </w:tc>
        <w:tc>
          <w:tcPr>
            <w:tcW w:type="dxa" w:w="183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主线三</w:t>
            </w:r>
          </w:p>
        </w:tc>
        <w:tc>
          <w:tcPr>
            <w:tcW w:type="dxa" w:w="241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RQ-H，H8–H10</w:t>
            </w:r>
          </w:p>
        </w:tc>
        <w:tc>
          <w:tcPr>
            <w:tcW w:type="dxa" w:w="91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691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3214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武汉—长江本地资源与政策</w:t>
            </w:r>
          </w:p>
        </w:tc>
        <w:tc>
          <w:tcPr>
            <w:tcW w:type="dxa" w:w="1836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应用层</w:t>
            </w:r>
          </w:p>
        </w:tc>
        <w:tc>
          <w:tcPr>
            <w:tcW w:type="dxa" w:w="2411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申报与场景依据</w:t>
            </w:r>
          </w:p>
        </w:tc>
        <w:tc>
          <w:tcPr>
            <w:tcW w:type="dxa" w:w="918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7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标记约定：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开放获取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，可直接下载全文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需机构订阅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（湖工大图书馆一般可通过 CNKI/Web of Science/ScienceDirect 镜像拿到）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必读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（本组前 3 名）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量表/方法可直接复用</w:t>
      </w:r>
    </w:p>
    <w:p>
      <w:pPr>
        <w:pBdr>
          <w:bottom w:val="single" w:color="C8C8C8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1F4E79" w:sz="8" w:space="4"/>
        </w:pBdr>
        <w:spacing w:after="160" w:before="380"/>
        <w:outlineLvl w:val="1"/>
      </w:pPr>
      <w:r>
        <w:rPr>
          <w:rFonts w:ascii="Calibri" w:cs="Calibri" w:eastAsia="微软雅黑" w:hAnsi="Calibri"/>
          <w:b/>
          <w:bCs/>
          <w:color w:val="1F4E79"/>
          <w:sz w:val="27"/>
          <w:szCs w:val="27"/>
        </w:rPr>
        <w:t xml:space="preserve">2. A 组：文化游戏化转译与文化学习</w:t>
      </w:r>
    </w:p>
    <w:p>
      <w:pPr>
        <w:pBdr>
          <w:left w:val="single" w:color="1F4E79" w:sz="14" w:space="10"/>
        </w:pBdr>
        <w:shd w:fill="F2F6FA" w:val="clear"/>
        <w:spacing w:after="40" w:before="140" w:line="290"/>
        <w:ind w:left="340" w:righ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这一组回答的是：文化以什么深度进入游戏，才真正产生学习？</w:t>
      </w:r>
    </w:p>
    <w:p>
      <w:pPr>
        <w:pBdr>
          <w:left w:val="single" w:color="1F4E79" w:sz="14" w:space="10"/>
        </w:pBdr>
        <w:shd w:fill="F2F6FA" w:val="clear"/>
        <w:spacing w:after="40" w:before="40" w:line="290"/>
        <w:ind w:left="340" w:right="200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落在 CGEL 链条的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游戏化转译 → 游戏体验 → 文化学习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段。</w:t>
      </w:r>
    </w:p>
    <w:p>
      <w:pPr>
        <w:pStyle w:val="Heading3"/>
        <w:keepNext/>
        <w:spacing w:after="120" w:before="280"/>
        <w:outlineLvl w:val="2"/>
      </w:pPr>
      <w:r>
        <w:rPr>
          <w:rFonts w:ascii="Calibri" w:cs="Calibri" w:eastAsia="微软雅黑" w:hAnsi="Calibri"/>
          <w:b/>
          <w:bCs/>
          <w:color w:val="1A1A1A"/>
          <w:sz w:val="23"/>
          <w:szCs w:val="23"/>
        </w:rPr>
        <w:t xml:space="preserve">A-1 直接前序：近三年"游戏文化嵌入 → 文化认同"实证（你要超越的对象）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A1-1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Beyond entertainment: how intangible cultural heritage in video games shapes youth cultural identity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Frontiers in Psychology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10.3389/fpsyg.2026.1855866</w:t>
      </w:r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yt8kwtybhiq2t_q8rxp9z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全文</w:t>
        </w:r>
      </w:hyperlink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mbmrkwtrblc5wqli-cyg0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PMC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：513 名中国青年在线问卷，检验"非遗嵌入度 → 文化认同态度 → 文化认同行为"的中介链；嵌入越深效果越强。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：这是你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整个课题的锚点文献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。它建立了你要的因果方向，但用横断面设计，作者自己承认无法建立长期因果——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这就是你 H1/H2 的立论起点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。你的实验（三组 × T0–T3 延迟测试）正好补上它的缺口。写基金本子时，这一篇是"国内外研究现状"段落的第一句。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用法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：直接前序 + 缺口论证。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A1-2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Integrating intangible cultural heritage elements into mobile games: an exploration of player cultural identity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Information Technology &amp; People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39(1))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10.1108/ITP-01-2024-0088</w:t>
      </w:r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mkebqbrcjod1xbtzws7p5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Emerald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：以《王者荣耀》为对象，用户访谈 + 因子分析 + SEM，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开发了文化体验评价量表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，提炼四个文化体验维度，构建文化认同理论模型。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：这是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唯一一篇已经做了量表开发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的同题文献，对你的 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CIDI（文化整合深度指数）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是最直接的竞争与参照。你必须先读懂它的四维结构，才能说清 CIDI 的增量在哪——我的判断是：它测的是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玩家感知的文化体验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（主观），而 CIDI 测的是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作品客观的整合深度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（专家编码）。这个"主观 vs 客观"的区分，就是你 CIDI 最好的立论。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用法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：量表参照 + CIDI 差异化论证。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这一篇如果只读摘要会吃亏，务必拿到全文看它的题项。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A1-3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Enhancing handicraft intangible cultural heritage learning through immersive VR serious games: a multimodal study on natural interaction effectiveness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Frontiers in Psychology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10.3389/fpsyg.2026.1880795</w:t>
      </w:r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aaqv7u18oqgwty-wnk8lo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全文</w:t>
        </w:r>
      </w:hyperlink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lhbi23yx-sausk41gmnx-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PMC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：自我决定理论指导的沉浸式 VR 严肃游戏设计，结合问卷 + 眼动 + 皮电多模态指标；沉浸式 VR 组的知识保持与生理唤醒显著高于传统 PC 组。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：证明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文化遗产游戏研究已经从满意度问卷进入多模态实验阶段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——这是你方法论章节的"学科趋势"论据。同时它把 SDT 作为设计指导而非事后解释，正是你 RQ-B（自主性感知）的做法模板。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用法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：方法范式 + 趋势论证。你不必立刻上眼动/皮电，但要在本子里说明"已有研究在往这个方向走，我第一阶段先建低成本行为实验体系"。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A1-4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The art and science of serious game design: a quasi-experimental study based on self-determination theory in traditional Chinese culture education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Frontiers in Psychology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10.3389/fpsyg.2025.1536513</w:t>
      </w:r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evu3xz6d6szvsqnjrtdwa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全文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准实验设计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，SDT 框架下的传统文化教育严肃游戏，检验自主/胜任/归属需求满足对动机的作用。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：A 组里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少数用实验（非问卷）做中国传统文化游戏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的研究。你的三组实验设计可以直接借它的对照组设置和操纵检查写法。审稿人问"为什么是准实验不是问卷"时，这是护身符。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用法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：实验范式模板。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A1-5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Understanding the key factors influencing continued use intention toward ICH-themed virtual reality games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Frontiers in Virtual Reality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10.3389/frvir.2026.1833878</w:t>
      </w:r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srjvsw5xwxqrddxcssevf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全文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：补齐"持续使用意向"这一行为变量。你的 H10（虚实外溢）需要行为指标，这篇提供了意向层的测量参照。优先级低于前四篇。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A1-6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The Model and Application of the Serious Game for Cultural Heritage Education: A Case Study of Kuliang, China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Lin, Zhou &amp; Guan)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10.1177/01678329251323449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：中国地方文化遗产严肃游戏的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模型+应用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双层写法，和你"武汉场景验证"的产出形态最接近。可作为你写案例章节的结构模板。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A1-7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Becoming a Xia: Constructing Cultural Identity in the History of Wuxia Games in China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Cao, Zhou &amp; Feng,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Games and Culture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10.1177/15554120231208735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质性/文化史路径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的文化认同建构研究。你的研究以量化为主，但基金评审和设计学期刊常要求人文深度——这一篇是你"文化认同不只是心理变量，也是历史建构"这一段的引用来源。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A1-8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Cultural Affordance and Reception: A Theoretical Framework for Interactive Cross-Cultural Sense-Making in Video Game Environments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Yu, Guo, Shen &amp; Chen,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Games and Culture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10.1177/15554120251336564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"文化可供性"框架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，是你 CGT（文化游戏化转译）五层模型最接近的理论邻居。写 CGT 时必须处理它，否则会被问"你和 cultural affordance 有什么区别"。我的判断：可供性讲的是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玩家能从文化中读出什么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，CGT 讲的是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设计者把文化放进了哪一层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——一个是接收端，一个是生产端，可以互补而非竞争。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A1-9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Enhancing Young Generation's Heritage Identity Through Emotional Responses to Virtual Cultural Heritage Experience: A Design Case with Azheke Community at Hani Rice Terraces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IJHCI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42(1))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10.1080/10447318.2025.2505159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"情感反应 → 遗产认同"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的设计案例，正是你 CGEL 链条中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情感连接 → 文化认同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那一段。而且是中国本土社区场景，与盘龙城/楚文化可类比。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A1-10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Evaluating knowledge transfer mechanisms and outcomes of VR/AR for cultural-heritage serious games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npj Heritage Science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10.1038/s40494-025-02247-z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：直接研究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知识迁移机制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而非满意度，和你 RQ-A（知识获得、理解、迁移）高度对齐。npj Heritage Science 是这个方向近两年最值得投的期刊之一，读它也是在摸目标期刊的口味。</w:t>
      </w:r>
    </w:p>
    <w:p>
      <w:pPr>
        <w:pStyle w:val="Heading3"/>
        <w:keepNext/>
        <w:spacing w:after="120" w:before="280"/>
        <w:outlineLvl w:val="2"/>
      </w:pPr>
      <w:r>
        <w:rPr>
          <w:rFonts w:ascii="Calibri" w:cs="Calibri" w:eastAsia="微软雅黑" w:hAnsi="Calibri"/>
          <w:b/>
          <w:bCs/>
          <w:color w:val="1A1A1A"/>
          <w:sz w:val="23"/>
          <w:szCs w:val="23"/>
        </w:rPr>
        <w:t xml:space="preserve">A-2 效应量与方法基准：元分析（写方法学和算样本量时用）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A2-1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Exploring the Efficacy of Game-Based Pedagogy: A Three-Level Meta-Analysis of Game-Based Learning and Gamification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Xu &amp; Dai)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10.1177/14697874261424519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最新的三层元分析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，给你游戏化学习的当前效应量基准。你的 PDF 里按 f = .25 估样本量（约 157 人完成），这个 f 值必须有来源——这篇就是来源。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不引元分析而自己拍 f 值，是基金评审最常挑的毛病。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A2-2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Effectiveness of Augmented Reality and Virtual Reality Interventions on Learning Outcomes: A Meta-Analysis in Higher Education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TechTrends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10.1007/s11528-025-01106-9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：21 项研究、41 个干预，合并效应 d = 0.98。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：如果你做 VR 组，这是效应量预期的依据。但注意 d ≈ 1.0 偏高（AR/VR 研究普遍存在新奇效应和发表偏倚），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你在预注册里应按更保守的 f = .20–.25 估样本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，并把这一点写进局限——这反而会让评审觉得你懂行。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A2-3 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Wouters, van Nimwegen, van Oostendorp &amp; van der Spek (2013). A meta-analysis of the cognitive and motivational effects of serious games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Journal of Educational Psychology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105(2))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严肃游戏领域被引最多的元分析之一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，经典。核心结论：严肃游戏在知识与认知上优于传统教学，但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动机优势并不稳定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；分组学习效果更好。你的 RQ-C（"玩得开心 ≠ 学到了"）的最强靠山就是它。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A2-4 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Wouters &amp; van Oostendorp (2013). A meta-analytic review of the role of instructional support in game-based learning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Computers &amp; Education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60(1))</w:t>
      </w:r>
    </w:p>
    <w:p>
      <w:pPr>
        <w:keepNext/>
        <w:spacing w:after="40" w:before="20" w:line="280"/>
        <w:ind w:left="200"/>
      </w:pPr>
      <w:hyperlink w:history="1" r:id="rIdqhr_51mu83aimhqbpqzsf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免费PDF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：教学支持对知识 d = .33、技能 d = .62、游戏内表现 d = .19。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：给你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分维度的效应量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。你的实验测"知识/理解/迁移"三类题，正好可以对应它的知识维度做功效分析。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A2-5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Effectiveness of digital educational game and game design in STEM learning: a meta-analytic review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(2023,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IJ STEM Education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10.1186/s40594-023-00424-9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A2-6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Effects of digital game-based STEM education on students' learning achievement: a meta-analysis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(2022,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IJ STEM Education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10.1186/s40594-022-00344-0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：这两篇是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跨领域对照基准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。文化领域的效应量若明显高于 STEM，多半是测量问题（自陈 vs 客观测验）——你在讨论部分需要这个参照来自我校准。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A2-7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Gamification enhances student intrinsic motivation, perceptions of autonomy and relatedness, but minimal impact on competency: a meta-analysis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(2024,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ETR&amp;D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10.1007/s11423-023-10337-7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：直接对应 RQ-B 的自主性/胜任感。结论"胜任感影响极小"是个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反直觉但有用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的发现，可以让你的假设更精细：不要笼统预测"游戏化提升所有 SDT 维度"。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A2-8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Gamification design in cultural heritage education: A systematic literature review (2019–2024)</w:t>
      </w:r>
    </w:p>
    <w:p>
      <w:pPr>
        <w:keepNext/>
        <w:spacing w:after="40" w:before="20" w:line="280"/>
        <w:ind w:left="200"/>
      </w:pPr>
      <w:hyperlink w:history="1" r:id="rIdp4foxplcuzkzxiq70vqpj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ResearchGate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：范围最贴近你的综述，直接给你"文化遗产教育游戏化"的研究图谱。【注意】 我只在 ResearchGate 上确认到这一条，正式出处需你核对后再引。</w:t>
      </w:r>
    </w:p>
    <w:p>
      <w:pPr>
        <w:pStyle w:val="Heading3"/>
        <w:keepNext/>
        <w:spacing w:after="120" w:before="280"/>
        <w:outlineLvl w:val="2"/>
      </w:pPr>
      <w:r>
        <w:rPr>
          <w:rFonts w:ascii="Calibri" w:cs="Calibri" w:eastAsia="微软雅黑" w:hAnsi="Calibri"/>
          <w:b/>
          <w:bCs/>
          <w:color w:val="1A1A1A"/>
          <w:sz w:val="23"/>
          <w:szCs w:val="23"/>
        </w:rPr>
        <w:t xml:space="preserve">A-3 理论与量表基座：经典高被引（一次投入，十年复用）</w:t>
      </w:r>
    </w:p>
    <w:p>
      <w:pPr>
        <w:pBdr>
          <w:left w:val="single" w:color="1F4E79" w:sz="14" w:space="10"/>
        </w:pBdr>
        <w:shd w:fill="F2F6FA" w:val="clear"/>
        <w:spacing w:after="40" w:before="140" w:line="290"/>
        <w:ind w:left="340" w:right="200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这一段是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整个文献库里最保值的部分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。你的 PDF 里已经点到 Jennett 和 Green &amp; Brock，我把它们补全成一个完整的变量测量体系。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A3-1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Jennett, Cox, Cairns, Dhoparee, Epps, Tijs &amp; Walton (2008). Measuring and defining the experience of immersion in games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International Journal of Human-Computer Studies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66(9), 641–661) — 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被引 1800+</w:t>
      </w:r>
    </w:p>
    <w:p>
      <w:pPr>
        <w:keepNext/>
        <w:spacing w:after="40" w:before="20" w:line="280"/>
        <w:ind w:left="200"/>
      </w:pPr>
      <w:hyperlink w:history="1" r:id="rIdnuzsfapudb9ijtgs2ezjq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作者免费PDF</w:t>
        </w:r>
      </w:hyperlink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83jg02gurqf2wuwjdtmy1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ScienceDirect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：三个实验，证明沉浸可同时用主观问卷与客观指标（任务完成时间、眼动）测量；沉浸是分级的（engagement → engrossment → total immersion）。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你所有游戏实验的沉浸变量都用它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，不要自编。它同时给了你"主观+客观"双轨测量的正当性——这正是 A1-3 那类多模态研究的源头。分级结构还能让你的 H3（沉浸中介）做得更细：是哪一级沉浸在中介？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用法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：量表来源（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核心）+ 理论基座。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A3-2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Green &amp; Brock (2000). The role of transportation in the persuasiveness of public narratives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Journal of Personality and Social Psychology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79(5), 701–721) — 经典</w:t>
      </w:r>
    </w:p>
    <w:p>
      <w:pPr>
        <w:keepNext/>
        <w:spacing w:after="40" w:before="20" w:line="280"/>
        <w:ind w:left="200"/>
      </w:pPr>
      <w:hyperlink w:history="1" r:id="rIdhj0u8ecx0dsmtupgldr_g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免费PDF</w:t>
        </w:r>
      </w:hyperlink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jtntoti8rjt9ksxakgfzt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PubMed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：叙事运输 = 注意力聚焦 + 情感投入 + 心理意象 + 与现实脱离；高运输者故事一致信念增强、对主角评价更正面。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：你 CGT 的 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L2 叙事型文化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层，心理机制就是叙事运输。H3（叙事运输中介）的量表和理论都来自这里。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用法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：量表来源（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）+ 理论基座。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A3-3 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van Laer, de Ruyter, Visconti &amp; Wetzels (2014). The Extended Transportation-Imagery Model: A Meta-Analysis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Journal of Consumer Research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40(5), 797–817)</w:t>
      </w:r>
    </w:p>
    <w:p>
      <w:pPr>
        <w:keepNext/>
        <w:spacing w:after="40" w:before="20" w:line="280"/>
        <w:ind w:left="200"/>
      </w:pPr>
      <w:hyperlink w:history="1" r:id="rIdbhfda20uiudmxwxn1hlpq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OA全文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：76 篇文献、132 个效应量的叙事运输元分析，梳理前因与后果。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：比 Green &amp; Brock 原文更实用——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它告诉你叙事运输的前因有哪些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（故事质量、角色相似性、可想象性……），这些正是你设计实验刺激物时要控制的变量。做操纵检查时必读。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A3-4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Ryan, Rigby &amp; Przybylski (2006). The motivational pull of video games: A self-determination theory approach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Motivation and Emotion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30(4)) — 经典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10.1007/s11031-006-9051-8</w:t>
      </w:r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_ta2xfj-nao-8g5-fxur9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免费PDF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：四个研究，建立 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PENS 量表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（Player Experience of Need Satisfaction）：游戏内自主感与胜任感预测游戏愉悦、偏好与幸福感变化。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：RQ-B 里的"自主性感知"就用 PENS。而且你的 H7（AI 个性化提高自主感）测的是同一个构念——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 组和 B 组共用一把尺子，这是把三条主线咬合起来的关键。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A3-5 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Przybylski, Rigby &amp; Ryan (2010). A motivational model of video game engagement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Review of General Psychology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hyperlink w:history="1" r:id="rIdjwommigf0fcv8_kgcodgf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免费PDF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：A3-4 的理论整合版，写理论框架时比原文好引。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A3-6 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Sweetser &amp; Wyeth (2005). GameFlow: A model for evaluating player enjoyment in games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Computers in Entertainment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3(3))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10.1145/1077246.1077253</w:t>
      </w:r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etfn439rhsuaflajb4jbi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ACM PDF</w:t>
        </w:r>
      </w:hyperlink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zy08c-lxwsj3mqaj2y-ie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修订版免费PDF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：把 Csikszentmihalyi 的心流理论落成八要素（专注、挑战、技能、控制、明确目标、反馈、沉浸、社交）。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：RQ-B 提到"心流"。【注意】 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但请注意一个陷阱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：GameFlow 本质是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启发式评估工具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（设计师用），不是被试自陈量表。如果你要测玩家心流，用 Flow Short Scale 或 EGameFlow 一类的自陈量表，GameFlow 用来做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设计侧的专家评估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——这正好和 CIDI 的专家编码路子一致，可以并入你的编码手册。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A3-7 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Hamari, Koivisto &amp; Sarsa (2014). Does gamification work? — A literature review of empirical studies on gamification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(HICSS)</w:t>
      </w:r>
    </w:p>
    <w:p>
      <w:pPr>
        <w:keepNext/>
        <w:spacing w:after="40" w:before="20" w:line="280"/>
        <w:ind w:left="200"/>
      </w:pPr>
      <w:hyperlink w:history="1" r:id="rId3n9r6t8kr30x7hhpumnzg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免费PDF</w:t>
        </w:r>
      </w:hyperlink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A3-8 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Koivisto &amp; Hamari (2019). The rise of motivational information systems: A review of gamification research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International Journal of Information Management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45, 191–210)</w:t>
      </w:r>
    </w:p>
    <w:p>
      <w:pPr>
        <w:keepNext/>
        <w:spacing w:after="40" w:before="20" w:line="280"/>
        <w:ind w:left="200"/>
      </w:pPr>
      <w:hyperlink w:history="1" r:id="rIdgzcm1sw7p9e3yo-8mwuha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ScienceDirect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：游戏化领域被引最高的两篇综述。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关键论点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：Koivisto &amp; Hamari 指出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越严格的实验设计，游戏化效应越小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——这句话你必须引，因为它直接支持你"用随机实验而非问卷"的方法论选择，也提前化解了"效应量为什么不如别人大"的质疑。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A3-9 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Falk &amp; Storksdieck (2005). Using the contextual model of learning to understand visitor learning from a science center exhibition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Science Education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89(5))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10.1002/sce.20078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A3-10 Falk &amp; Dierking. </w:t>
      </w:r>
      <w:r>
        <w:rPr>
          <w:rFonts w:ascii="Calibri" w:cs="Calibri" w:eastAsia="微软雅黑" w:hAnsi="Calibri"/>
          <w:b/>
          <w:bCs/>
          <w:i/>
          <w:iCs/>
          <w:color w:val="1A1A1A"/>
          <w:sz w:val="21"/>
          <w:szCs w:val="21"/>
        </w:rPr>
        <w:t xml:space="preserve">Learning from Museums: Visitor Experiences and the Making of Meaning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（专著）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博物馆学习的标准理论框架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（个人情境 / 社会文化情境 / 物理情境）。你做博物馆现场实验（2029 年那一步）时，先验知识、动机、选择与控制这些协变量必须按它来设，否则现场研究会被批"没有控制情境变量"。这也是你"参观前—参观中—参观后服务系统"设计的理论出处。</w:t>
      </w:r>
    </w:p>
    <w:p>
      <w:pPr>
        <w:pStyle w:val="Heading3"/>
        <w:keepNext/>
        <w:spacing w:after="120" w:before="280"/>
        <w:outlineLvl w:val="2"/>
      </w:pPr>
      <w:r>
        <w:rPr>
          <w:rFonts w:ascii="Calibri" w:cs="Calibri" w:eastAsia="微软雅黑" w:hAnsi="Calibri"/>
          <w:b/>
          <w:bCs/>
          <w:color w:val="1A1A1A"/>
          <w:sz w:val="23"/>
          <w:szCs w:val="23"/>
        </w:rPr>
        <w:t xml:space="preserve">A-4 场景对照：VR / AR / 位置型游戏（做原型时的技术与设计参照）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A4-1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Can Location-Based Augmented Reality Support Cultural-Heritage Experience in Real-World Settings? Age-Related Engagement Patterns and a Field-Based Evaluation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Informatics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13(1))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10.3390/informatics13010012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：LBAR 现场评估，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知识增益均值 +7.74 分，大效应量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：你 2030 年"武汉城市史位置型游戏"那条线的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方法与效应量双重参照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。现场实验怎么控制、怎么报效应量，照着写。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A4-2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How Do Location-Based AR Games Enhance Value Co-Creation Experiences at Cultural Heritage Sites? A Process Perspective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(2024,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Applied Sciences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14(15))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10.3390/app14156812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A4-3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HeritageSite AR: Design and Evaluation of a Mobile AR Exploration Game for a Chinese Heritage Site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(2024,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JOCCH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10.1145/3700881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：中国遗产地 AR 游戏的设计+评估完整案例，盘龙城原型可直接对标。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A4-4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Design of a virtual reality serious game for experiencing the colors of Dunhuang frescoes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(2024,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npj Heritage Science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10.1038/s40494-024-01477-x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敦煌色彩 VR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——把一个高度专门化的文化要素（色彩）做成游戏核心，这正是 CGT 的 L3/L4 实践。你做曾侯乙编钟（音律→解谜规则）时，这是最接近的先例，也是最该引的"同类工作"。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A4-5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Collaboration in an immersive VR Edu-Metaverse improves knowledge gain and retention of concise cultural heritage content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Virtual Reality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10.1007/s10055-026-01436-w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：少见地同时测了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知识获得与保持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。你的 H2（7天/30天延迟记忆）需要先例，这是目前最接近的。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A4-6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Metaverse and XR for cultural heritage education: applications, standards, architecture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Virtual Reality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10.1007/s10055-025-01126-z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A4-7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Augmented Reality in Cultural Heritage: A Narrative Review of Design, Development and Evaluation Approaches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Heritage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8(10))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10.3390/heritage8100421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A4-8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Serious Games in Cultural Heritage: A Review of Practices and Considerations in the Design of Location-Based Games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(2023,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Education Sciences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13(1))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10.3390/educsci13010047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A4-9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VR Games in Cultural Heritage: A Systematic Review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(2022,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Applied Sciences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12(17))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10.3390/app12178476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A4-10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Digital preservation and development of architectural heritage from a virtual perspective: a systematic review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npj Heritage Science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10.1038/s40494-025-02162-3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：这五篇是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综述层的背景库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，不必精读。作用是：写文献综述时快速找到"某类技术已有哪些工作"，以及确认你的选题没被做过。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A4-11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Burgess &amp; Jones (2022). Exploring Player Understandings of Historical Accuracy and Historical Authenticity in Video Games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Games and Culture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10.1177/15554120211061853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：959 条论坛评论 + 88 份问卷；58% 玩家认为开发者应尽量少改动史实；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43% 的人分不清"历史准确"和"历史真实"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这是你 H5（文化真实性效应）最重要的一篇。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它告诉你一个关键的测量问题：玩家心中"真实性"是个混淆概念。所以你的"感知真实性"量表必须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分开测历史准确性 / 物质真实性 / 叙事可信度 / 文化一致性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——你的 PDF 里已经这么设计了，这篇就是依据。</w:t>
      </w:r>
    </w:p>
    <w:p>
      <w:pPr>
        <w:pBdr>
          <w:bottom w:val="single" w:color="C8C8C8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1F4E79" w:sz="8" w:space="4"/>
        </w:pBdr>
        <w:spacing w:after="160" w:before="380"/>
        <w:outlineLvl w:val="1"/>
      </w:pPr>
      <w:r>
        <w:rPr>
          <w:rFonts w:ascii="Calibri" w:cs="Calibri" w:eastAsia="微软雅黑" w:hAnsi="Calibri"/>
          <w:b/>
          <w:bCs/>
          <w:color w:val="1F4E79"/>
          <w:sz w:val="27"/>
          <w:szCs w:val="27"/>
        </w:rPr>
        <w:t xml:space="preserve">3. B 组：AI文化角色与智能化传播</w:t>
      </w:r>
    </w:p>
    <w:p>
      <w:pPr>
        <w:pBdr>
          <w:left w:val="single" w:color="1F4E79" w:sz="14" w:space="10"/>
        </w:pBdr>
        <w:shd w:fill="F2F6FA" w:val="clear"/>
        <w:spacing w:after="40" w:before="140" w:line="290"/>
        <w:ind w:left="340" w:righ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这一组回答的是：AI 如何改变文化角色依恋、真实性与文化认同？</w:t>
      </w:r>
    </w:p>
    <w:p>
      <w:pPr>
        <w:pBdr>
          <w:left w:val="single" w:color="1F4E79" w:sz="14" w:space="10"/>
        </w:pBdr>
        <w:shd w:fill="F2F6FA" w:val="clear"/>
        <w:spacing w:after="40" w:before="40" w:line="290"/>
        <w:ind w:left="340" w:right="200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落在 CGEL 链条的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AI中介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调节变量，以及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游戏体验 → 情感连接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段。</w:t>
      </w:r>
    </w:p>
    <w:p>
      <w:pPr>
        <w:pBdr>
          <w:left w:val="single" w:color="1F4E79" w:sz="14" w:space="10"/>
        </w:pBdr>
        <w:shd w:fill="F2F6FA" w:val="clear"/>
        <w:spacing w:after="40" w:before="40" w:line="290"/>
        <w:ind w:left="340" w:righ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这是你前沿性最高、但也最容易做浅的一组。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分四层读：技术能做什么（B-1/B-2）→ 人为什么会依恋（B-3）→ 什么时候会出问题（B-4）。</w:t>
      </w:r>
    </w:p>
    <w:p>
      <w:pPr>
        <w:pStyle w:val="Heading3"/>
        <w:keepNext/>
        <w:spacing w:after="120" w:before="280"/>
        <w:outlineLvl w:val="2"/>
      </w:pPr>
      <w:r>
        <w:rPr>
          <w:rFonts w:ascii="Calibri" w:cs="Calibri" w:eastAsia="微软雅黑" w:hAnsi="Calibri"/>
          <w:b/>
          <w:bCs/>
          <w:color w:val="1A1A1A"/>
          <w:sz w:val="23"/>
          <w:szCs w:val="23"/>
        </w:rPr>
        <w:t xml:space="preserve">B-1 LLM NPC 与 AI 角色（对应 RQ-F、H7）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B1-1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The Double-Edged Sword of Open-Ended Interaction: How LLM-Driven NPCs Affect Players' Cognitive Load and Gaming Experience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arXiv:2604.10107)</w:t>
      </w:r>
    </w:p>
    <w:p>
      <w:pPr>
        <w:keepNext/>
        <w:spacing w:after="40" w:before="20" w:line="280"/>
        <w:ind w:left="200"/>
      </w:pPr>
      <w:hyperlink w:history="1" r:id="rIdpr7yk2pwd266ecfiqbxnd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PDF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：实证证明 LLM-NPC 通过提高"表达成本"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显著增加玩家认知负荷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；提出"双刃剑"效应，强调情境敏感与用户敏感设计。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你 H7（AI个性化双刃剑）的同名先例。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但注意：它的双刃剑讲的是"沉浸 vs 认知负荷"，你的讲的是"沉浸 vs 文化真实性"——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方向不同，这就是你的增量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。而且它提示你：AI NPC 实验必须加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认知负荷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作为协变量，否则文化学习效果的下降可能是负荷而非真实性造成的。这是个很容易被审稿人抓的混淆变量。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B1-2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Empower My Digital Neighbors: How LLM-Driven NPCs Shape Player Interaction in Single-Player and Multiplayer Contexts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CHI EA)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10.1145/3772363.3798665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：明确指出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现有工作多关注技术能力，缺乏对真实玩家交互的实证研究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——这句话是你 RQ-F 缺口论证的直接引文。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B1-3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Park, O'Brien, Cai, Morris, Liang &amp; Bernstein (2023). Generative Agents: Interactive Simulacra of Human Behavior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(UIST '23) — 经典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10.1145/3586183.3606763</w:t>
      </w:r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hvamxgerafglo3l3o9qng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arXiv PDF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：观察—规划—反思三组件架构，25 个智能体在沙盒中自发形成关系与集体行为。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AI 角色领域近三年被引最高的论文，已经是准经典。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你做长江文化 RAG NPC 的架构时，它的记忆流 + 反思机制是标准起点；写技术路线时不引这篇会显得没跟上。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B1-4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Evaluating the Role-Playing Capabilities of LLMs in Text-based Games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NAACL)</w:t>
      </w:r>
    </w:p>
    <w:p>
      <w:pPr>
        <w:keepNext/>
        <w:spacing w:after="40" w:before="20" w:line="280"/>
        <w:ind w:left="200"/>
      </w:pPr>
      <w:hyperlink w:history="1" r:id="rIdmeslrltip7_zstewlzide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ACL Anthology</w:t>
        </w:r>
      </w:hyperlink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B1-5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Character-LLM: A Trainable Agent for Role-Playing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(arXiv:2310.10158)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B1-6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Role-Playing Agents Driven by LLMs: Current Status, Challenges, and Future Trends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arXiv:2601.10122)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：角色扮演智能体的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技术侧三件套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：评测方法、训练方法、综述。你做"张之洞 AI 角色"时，"角色一致性怎么评"这个问题必须有技术依据——B1-4 给评测指标，B1-5 给"经验上传"（Experience Upload）的人物构建方法。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B1-7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A Quest for Information: Enhancing Game-Based Learning with LLM-Driven NPCs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CESCG)</w:t>
      </w:r>
    </w:p>
    <w:p>
      <w:pPr>
        <w:keepNext/>
        <w:spacing w:after="40" w:before="20" w:line="280"/>
        <w:ind w:left="200"/>
      </w:pPr>
      <w:hyperlink w:history="1" r:id="rId5o_wwa2fs7lzlha-1mlok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PDF</w:t>
        </w:r>
      </w:hyperlink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B1-8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Leveraging Large Language Models for Active Merchant Non-player Characters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(arXiv:2412.11189)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：LLM NPC 在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学习场景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中的应用样例，比纯技术论文更贴近你的实验设计。</w:t>
      </w:r>
    </w:p>
    <w:p>
      <w:pPr>
        <w:pStyle w:val="Heading3"/>
        <w:keepNext/>
        <w:spacing w:after="120" w:before="280"/>
        <w:outlineLvl w:val="2"/>
      </w:pPr>
      <w:r>
        <w:rPr>
          <w:rFonts w:ascii="Calibri" w:cs="Calibri" w:eastAsia="微软雅黑" w:hAnsi="Calibri"/>
          <w:b/>
          <w:bCs/>
          <w:color w:val="1A1A1A"/>
          <w:sz w:val="23"/>
          <w:szCs w:val="23"/>
        </w:rPr>
        <w:t xml:space="preserve">B-2 AI文化讲解、RAG 与幻觉（对应 RQ-G、H6）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B2-1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Large-Scale Corpus Construction and Retrieval-Augmented Generation for Ancient Chinese Poetry: New Method and Data Insights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NAACL Findings)</w:t>
      </w:r>
    </w:p>
    <w:p>
      <w:pPr>
        <w:keepNext/>
        <w:spacing w:after="40" w:before="20" w:line="280"/>
        <w:ind w:left="200"/>
      </w:pPr>
      <w:hyperlink w:history="1" r:id="rIdhark1prdxrtyi9hkbziew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ACL Anthology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：领域语料 + 专用检索框架，把基准任务准确率从 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49.2% 提升到 89.0%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你 H6（RAG效应）唯一的强技术依据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，你的 PDF 里已经引了。但请保留你自己写的那句限定："这只能说明领域 RAG 有潜力，不能推断博物馆环境也有同样幅度改善"——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这句自我限制会让评审觉得你诚实且懂方法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，不要删。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B2-2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LLM-Driven Completeness and Consistency Evaluation for Cultural Heritage Data Augmentation in Cross-Modal Retrieval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EMNLP Main)</w:t>
      </w:r>
    </w:p>
    <w:p>
      <w:pPr>
        <w:keepNext/>
        <w:spacing w:after="40" w:before="20" w:line="280"/>
        <w:ind w:left="200"/>
      </w:pPr>
      <w:hyperlink w:history="1" r:id="rIdrxkbctmlyy4lspxkoskkk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ACL Anthology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：明确指出 LLM 生成文化遗产描述存在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幻觉与视觉事实遗漏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，需要完整性与一致性验证。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：你 AI NPC 实验里"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不能只用另一个 LLM 评价 LLM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"这条原则的依据。它也给了你自动事实核查的可操作框架，配合文化专家盲评构成双评价体系。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B2-3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An Evaluation of LLM-based Chatbots for Enhancing the Visitor's User Experience at Cultural Exhibits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JOCCH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10.1145/3775062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：测试中观察到两大问题——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LLM 缺乏情境感知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，以及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对训练数据外的文物产生幻觉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；提出用 RAG 缩小运行时信息范围。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这是最贴近你实验场景的一篇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（博物馆 + LLM + 幻觉 + RAG）。你的三组对照（固定脚本 / 通用LLM / 文化RAG）几乎就是它的问题的实验化。必读。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B2-4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MuseRAG++: a deep retrieval-augmented generation framework for semantic interaction and multi-modal reasoning in virtual museums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(2025)</w:t>
      </w:r>
    </w:p>
    <w:p>
      <w:pPr>
        <w:keepNext/>
        <w:spacing w:after="40" w:before="20" w:line="280"/>
        <w:ind w:left="200"/>
      </w:pPr>
      <w:hyperlink w:history="1" r:id="rId7h3gdxqopvm2rh8adyiqk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PMC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：在检索保真度、事实接地与语言质量间取得平衡；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显式来源建模（provenance modeling）对可信可解释的文化遗产回答至关重要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：给你长江文化 RAG 知识库的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架构参照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。"显式标注来源"这一点尤其重要——它既提升信任（你的实验因变量），又符合 AI 标识合规（B-4），一举两得，值得写进你的设计原则。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B2-5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Multimodal RAG for cultural heritage: a technical exploration based on Jino traditional knowledge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Digital Scholarship in the Humanities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41(2))</w:t>
      </w:r>
    </w:p>
    <w:p>
      <w:pPr>
        <w:keepNext/>
        <w:spacing w:after="40" w:before="20" w:line="280"/>
        <w:ind w:left="200"/>
      </w:pPr>
      <w:hyperlink w:history="1" r:id="rIdgw8zk6tgn4okbbj44o2pu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Oxford Academic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：中国少数民族口传知识的多模态 RAG，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与你"地方志 + 口述史进 RAG"的思路最接近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的中国案例。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B2-6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Visual information identification and Q&amp;A of intangible cultural heritage inheritors using enhanced Graph-Retrieval framework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npj Heritage Science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10.1038/s40494-026-02384-z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：Graph-RAG（知识图谱 + 检索）缓解幻觉。如果你的长江文化知识库要做实体关系（人物—事件—器物—地点），这是路线参照。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B2-7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Evaluating Cultural Knowledge Processing in Large Language Models: A Cognitive Benchmarking Framework Integrating RAG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arXiv:2511.01649)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：给你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文化知识评测基准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的构建方法。你要测"AI NPC 的事实错误率"，需要一套题库——这篇提供框架。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B2-8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Exploring LLM-Powered Role and Action-Switching Pedagogical Agents for History Education in Virtual Reality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CHI)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10.1145/3706598.3713109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2×2 被试间实验，84 人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，滕王阁历史学习；自适应角色切换提升了对教学智能体的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可信度与专业性感知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，但导致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学习体验不一致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这是 B 组的方法学金标准，也是你最该模仿的一篇。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2×2、84 人、历史文化场景、VR、LLM 智能体——你的"AI 个性化叙事实验"几乎可以照搬它的设计，只把自变量换成"文化整合深度 × 是否RAG"。而且"提升可信度但体验不一致"的结论，和你 H7 的双刃剑判断一致，是很好的先例支持。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B2-9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"Ask Sir Oliver Ingham": LLM-based Social Simulations for History Education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CHI EA)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10.1145/3706599.3719728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历史人物 AI 角色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的直接先例。你做"张之洞 AI"时的同类工作，必须处理。</w:t>
      </w:r>
    </w:p>
    <w:p>
      <w:pPr>
        <w:pStyle w:val="Heading3"/>
        <w:keepNext/>
        <w:spacing w:after="120" w:before="280"/>
        <w:outlineLvl w:val="2"/>
      </w:pPr>
      <w:r>
        <w:rPr>
          <w:rFonts w:ascii="Calibri" w:cs="Calibri" w:eastAsia="微软雅黑" w:hAnsi="Calibri"/>
          <w:b/>
          <w:bCs/>
          <w:color w:val="1A1A1A"/>
          <w:sz w:val="23"/>
          <w:szCs w:val="23"/>
        </w:rPr>
        <w:t xml:space="preserve">B-3 角色依恋、拟社会互动与人机关系（对应 RQ-E、H8）</w:t>
      </w:r>
    </w:p>
    <w:p>
      <w:pPr>
        <w:pBdr>
          <w:left w:val="single" w:color="1F4E79" w:sz="14" w:space="10"/>
        </w:pBdr>
        <w:shd w:fill="F2F6FA" w:val="clear"/>
        <w:spacing w:after="40" w:before="140" w:line="290"/>
        <w:ind w:left="340" w:righ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这一层是 B 组的理论根。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没有它，你的 AI 研究就只是"做了个 demo 测了下满意度"。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B3-1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Lewis, Weber &amp; Bowman (2008). "They may be pixels, but they're MY pixels": Developing a metric of character attachment in role-playing video games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CyberPsychology &amp; Behavior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11(4)) — 经典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10.1089/cpb.2007.0137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17 题角色依恋量表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，五维度：认同、控制、友谊、怀疑悬置、责任感；与自尊、成瘾、游戏愉悦、游戏时长显著相关。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你 H8 的核心量表，直接用，不要自编。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五个维度里"友谊"和"责任感"两维对 AI NPC 特别有意义——固定脚本 NPC 很难产生"责任感"，而 LLM NPC 可能可以，这本身就是一个可检验的细化假设。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B3-2 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Hefner, Klimmt &amp; Vorderer (2007). Identification with the player character as determinant of video game enjoyment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(ICEC)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10.1007/978-3-540-74873-1_6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B3-3 Klimmt, Hefner &amp; Vorderer (2009). The video game experience as "true" identification: A theory of enjoyable alterations of players' self-perception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Communication Theory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19(4))</w:t>
      </w:r>
    </w:p>
    <w:p>
      <w:pPr>
        <w:keepNext/>
        <w:spacing w:after="40" w:before="20" w:line="280"/>
        <w:ind w:left="200"/>
      </w:pPr>
      <w:hyperlink w:history="1" r:id="rIdeqnt6yj8pfh14sw_whauo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免费PDF</w:t>
        </w:r>
      </w:hyperlink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B3-4 Klimmt, Hefner, Vorderer, Roth &amp; Blake. Identification with video game characters as automatic shift of self-perceptions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Media Psychology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：游戏角色认同 ≠ 传统媒介的"观看式认同"，而是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玩家自我概念的临时性位移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；交互组的认同分数显著高于纯观看组。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这三篇是 RQ-E 的理论核心，也是你区分"互动型IP vs 静态IP"（H8）的理论依据。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"交互提高认同"这个已被实验证明的结论，正是你把 IP 从海报/短视频推向可交互 AI 角色的学理理由。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基金本子里论证"为什么要做互动型文化IP"，就引这一组。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B3-5 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Nass &amp; Moon (2000). Machines and mindlessness: Social responses to computers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Journal of Social Issues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56(1)) — CASA 范式奠基作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：人会"无意识地"把计算机当社会行动者，自动套用人际交往的社会规则。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你整个 AI 文化角色研究的最底层假设。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为什么人会对 AI NPC 产生依恋、信任、认同？CASA 是标准答案。近三年 AI 陪伴研究全部建立在它之上。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B3-6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Lee (2010). What triggers social responses to flattering computers? Experimental tests of anthropomorphism and mindlessness explanations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Communication Research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10.1177/0093650209356389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：CASA 的机制之争——是"无意识"还是"拟人化"？这个争论在 LLM 时代重新变得关键（LLM 明显更拟人）。你若要在理论上有贡献，这是切入点。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B3-7 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Horton &amp; Wohl (1956). Mass communication and para-social interaction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Psychiatry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19(3)) — 拟社会互动奠基作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：拟社会互动的源头。引一次即可，但必须引——你的"角色依恋"若不追溯到 PSI，理论链是断的。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B3-8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Parasocial relationships with artificial intelligence (AI): A systematic review of benefits and risks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ScienceDirect)</w:t>
      </w:r>
    </w:p>
    <w:p>
      <w:pPr>
        <w:keepNext/>
        <w:spacing w:after="40" w:before="20" w:line="280"/>
        <w:ind w:left="200"/>
      </w:pPr>
      <w:hyperlink w:history="1" r:id="rIdznwye6jevlu8wh-ic3lwf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链接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最新的系统综述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，一篇抵十篇。让你快速掌握"人—AI 拟社会关系"的研究版图与伦理争议，且给你现成的风险清单（写伦理章节时用）。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B3-9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How AI Companionship Develops: Evidence from a Longitudinal Study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arXiv:2510.10079)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纵向设计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，这在 AI 依恋研究里很稀缺。你若想做"AI 文化角色的长期依恋"（这会是很强的差异化），这是方法参照。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B3-10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The Adaptation Paradox: Agency vs. Mimicry in Companion Chatbots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arXiv:2509.12525)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中等程度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寻求关系的 AI 产生最高的喜爱与依恋，但并不带来相应的心理益处。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：一个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倒U形结论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——这和你要检验的"文化整合深度是否存在倒U形"结构完全同构。可作为你倒U形假设的跨领域类比支持。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B3-11 从拟社会互动到依恋：人机情感关系的演化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《心理科学》)</w:t>
      </w:r>
    </w:p>
    <w:p>
      <w:pPr>
        <w:keepNext/>
        <w:spacing w:after="40" w:before="20" w:line="280"/>
        <w:ind w:left="200"/>
      </w:pPr>
      <w:hyperlink w:history="1" r:id="rIdqcpdhoy6tvopihritbrte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链接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中文核心期刊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的人机情感关系综述。你发中文 C 刊时需要中文理论引用，这一篇是目前最对口的。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B3-12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Virtual presence, real connections: Exploring the role of parasocial relationships in virtual idol fan community participation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10.1177/20594364231222976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B3-13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The creative behavior of virtual idol fans: a psychological perspective based on MOA theory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(2023)</w:t>
      </w:r>
    </w:p>
    <w:p>
      <w:pPr>
        <w:keepNext/>
        <w:spacing w:after="40" w:before="20" w:line="280"/>
        <w:ind w:left="200"/>
      </w:pPr>
      <w:hyperlink w:history="1" r:id="rIdiwuol75otc4dvlle2gkww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PMC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：虚拟偶像是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中国最成熟的"数字角色 IP"生态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。你研究文化 IP 角色依恋，虚拟偶像文献是绕不过的邻近领域，而且它证明了角色依恋能转化为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创作与消费行为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（对应你的 H10 行为外溢）。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B3-14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"I Harbour Strong Feelings for Tali Despite Her Being a Fictional Character": Investigating Videogame Players' Emotional Attachments to Non-Player Characters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(Burgess &amp; Jones,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Game Studies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hyperlink w:history="1" r:id="rIduvvco-qvxpe6bk6b3tlau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全文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对 NPC（而非玩家角色）的依恋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——你的 AI 文化角色正是 NPC，而 B3-1 的量表是为玩家角色开发的。这个错位你必须处理，这篇是处理它的起点。</w:t>
      </w:r>
    </w:p>
    <w:p>
      <w:pPr>
        <w:pStyle w:val="Heading3"/>
        <w:keepNext/>
        <w:spacing w:after="120" w:before="280"/>
        <w:outlineLvl w:val="2"/>
      </w:pPr>
      <w:r>
        <w:rPr>
          <w:rFonts w:ascii="Calibri" w:cs="Calibri" w:eastAsia="微软雅黑" w:hAnsi="Calibri"/>
          <w:b/>
          <w:bCs/>
          <w:color w:val="1A1A1A"/>
          <w:sz w:val="23"/>
          <w:szCs w:val="23"/>
        </w:rPr>
        <w:t xml:space="preserve">B-4 数字人、文化真实性与 AI 合规（对应 H5、H7 与伦理章节）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B4-1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The impact of cultural tourism digital humans in China on tourists' travel intentions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Current Issues in Tourism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10.1080/13683500.2025.2555501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：整合模因论、可供性理论与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拟社会互动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；537 名中国游客；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物理可供性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（外观、声音、表情动作）与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心理可供性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（知识表征、能力展示、情感表达）均显著提升态度，其中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外观与知识表征作用最强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 组里和你最对口的一篇中国实证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。"知识表征"作用最强这个发现，直接支持你把 RAG（提升知识准确性）作为核心自变量——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这是 H6 的行为学侧依据，比纯技术论文有力得多。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B4-2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The impact of hyperrealistic virtual humans on cultural heritage dissemination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npj Heritage Science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10.1038/s40494-025-02098-8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：五个设计要素（角色、造型、动态、声音、场景）的两阶段实验（用户测试 + 抖音问卷）；造型、场景、声音表现好，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角色与动态设计存在明显不足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：给你数字人设计的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要素级评价框架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，可直接并入 CIDI 的 R（表征）维度编码手册。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B4-3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New "Mediators" in museum settings: AI-generated virtual digital humans' mediality on visitors' continuous participation intention in museum holographic cabins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Virtual Reality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10.1007/s10055-026-01447-7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在知识密集的博物馆场景中，拟人化程度并不显著提升信任，智能程度才是信任的关键驱动；但拟人化显著提升空间临场感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，并经此间接驱动持续参与。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这是个反直觉且极其有用的发现，可能是你 B 组最重要的一篇近期文献。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它把"拟人 vs 智能"拆开了：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拟人管临场感，智能管信任。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你的三组 NPC 实验（脚本/通用LLM/RAG）本质上就是在操纵"智能"这一维——这篇给了你预测方向。而且它提示你：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不要把拟人度和智能度混在一个自变量里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，否则结论会解释不清。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B4-4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When Intangible Cultural Heritage Meets AI—Can AI with Anthropomorphism Elements Attract Tourists to Visit Cultural Heritage Sites?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Sustainability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18(8))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10.3390/su18083977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：非遗 + AI 拟人化 + 到访意向，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同时覆盖 B 组和 C 组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，是你"AI角色 → 现实文旅行为"这条外溢链的直接先例。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B4-5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The Impact of AI Guide Language Strategies on Museum Visitor Experience: The Mediating Role of Psychological Distance in the Arousal–Topic Fit Effect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(2025)</w:t>
      </w:r>
    </w:p>
    <w:p>
      <w:pPr>
        <w:keepNext/>
        <w:spacing w:after="40" w:before="20" w:line="280"/>
        <w:ind w:left="200"/>
      </w:pPr>
      <w:hyperlink w:history="1" r:id="rIdjqe_oqgsqv4us_ko2v7mw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PMC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：AI 讲解的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语言策略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（而非技术架构）如何影响体验。你做 AI NPC 时，提示词风格是个容易被忽略的混淆变量，这篇提醒你要控制它。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B4-6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How AI-Generated Content Shapes User Trust: The Roles of Cognitive Processing, Perceived Risk, and Transparency Labels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Behavioral Sciences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16(6))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10.3390/bs16060957</w:t>
      </w:r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kvn4gpckhsfqfgz0fdyd7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PMC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2×2 被试间实验，617 人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；结果显示 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AI 透明标识降低感知真实性，但并不直接影响信任或采纳意向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这一篇直接决定你 AI 实验的一个设计细节。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你的 PDF 把"是否进行AI标识"列为 AI 调节变量——这是对的，而且这篇告诉你预期方向：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标识会压低感知真实性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。既然你的因变量里有"感知文化真实性"，那么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AI 标识必须作为控制变量或自变量显式处理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，否则你测到的"RAG 提升真实性"可能被标识效应污染。同时它是你做合规设计（《人工智能生成合成内容标识办法》）的学理支撑：标识是法定义务，但有代价，设计要补偿这个代价——这本身就是一个很好的设计学研究问题。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B4-7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Li, Yang &amp; Yu (2025). Nudging Perceived Credibility: The Impact of AIGC Labeling on User Distinction of AI-Generated Content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10.1177/27523543251317572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B4-8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AI labeling reduces the perceived accuracy of online content but has limited broader effects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arXiv:2506.16202)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B4-9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Labeling Synthetic Content: User Perceptions of Label Designs for AI-Generated Content on Social Media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CHI)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10.1145/3706598.3713171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B4-10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Visible sources and invisible risks: exploring the impact of AI disclosure on perceived credibility of AI-generated content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JCOM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hyperlink w:history="1" r:id="rIdzfjtb093znafngyqpvkiw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链接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：AI 标识效应的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证据群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。结论高度一致（标识降低可信度/准确性感知），所以你可以放心地把它作为已确立的效应来预测。B4-9 还给了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标识设计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的用户感知——这是设计学能贡献的地方：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什么样的标识设计能在合规的同时减少真实性损失？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这可能是你最容易出成果的一个小切口。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B4-11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Cultural bias and cultural alignment of large language models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(2024,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PNAS Nexus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3(9))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10.1093/pnasnexus/pgae346</w:t>
      </w:r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1bsh_rloryvkbezbju20k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PMC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：以世界价值观调查为基准，GPT 系列模型输出偏向英语国家与新教欧洲的自我表达价值观；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文化提示（cultural prompting）能显著降低偏见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你做中国文化 AI 角色的根本性论据。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通用 LLM 带有西方文化偏见 → 所以需要长江文化 RAG 知识库。这一步论证如果没有硬证据，你的 RAG 路线就只是工程选择而非科学必要。这一篇（PNAS Nexus，正在快速成为高被引）就是那个硬证据。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B4-12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Investigating Cultural Alignment of Large Language Models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(2024, arXiv:2402.13231)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B4-13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Fluent but Foreign: Even Regional LLMs Lack Cultural Alignment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arXiv:2505.21548)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B4-14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From Word to World: Evaluate and Mitigate Culture Bias in LLMs via Word Association Test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arXiv:2505.18562)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：B4-11 的补充证据。B4-13 的结论尤其重要：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即便是区域性 LLM（如中文模型）也缺乏文化对齐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——这意味着"用国产大模型就够了"是错的，必须做领域 RAG。这是你技术路线的关键辩护。</w:t>
      </w:r>
    </w:p>
    <w:p>
      <w:pPr>
        <w:pBdr>
          <w:bottom w:val="single" w:color="C8C8C8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1F4E79" w:sz="8" w:space="4"/>
        </w:pBdr>
        <w:spacing w:after="160" w:before="380"/>
        <w:outlineLvl w:val="1"/>
      </w:pPr>
      <w:r>
        <w:rPr>
          <w:rFonts w:ascii="Calibri" w:cs="Calibri" w:eastAsia="微软雅黑" w:hAnsi="Calibri"/>
          <w:b/>
          <w:bCs/>
          <w:color w:val="1F4E79"/>
          <w:sz w:val="27"/>
          <w:szCs w:val="27"/>
        </w:rPr>
        <w:t xml:space="preserve">4. C 组：跨媒介文化IP与虚实外溢</w:t>
      </w:r>
    </w:p>
    <w:p>
      <w:pPr>
        <w:pBdr>
          <w:left w:val="single" w:color="1F4E79" w:sz="14" w:space="10"/>
        </w:pBdr>
        <w:shd w:fill="F2F6FA" w:val="clear"/>
        <w:spacing w:after="40" w:before="140" w:line="290"/>
        <w:ind w:left="340" w:righ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这一组回答的是：游戏里的文化认同，能不能变成现实中的参观、搜索、分享和旅游？</w:t>
      </w:r>
    </w:p>
    <w:p>
      <w:pPr>
        <w:pBdr>
          <w:left w:val="single" w:color="1F4E79" w:sz="14" w:space="10"/>
        </w:pBdr>
        <w:shd w:fill="F2F6FA" w:val="clear"/>
        <w:spacing w:after="40" w:before="40" w:line="290"/>
        <w:ind w:left="340" w:right="200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落在 CGEL 链条最末端的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文化认同 → 文化行为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这是你最容易做出武汉特色和社会影响的一组，也是最容易拿到地方基金的一组。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C-1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How cultural identity in "Black Myth: Wukong" drives tourism intentions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Elsevier)</w:t>
      </w:r>
    </w:p>
    <w:p>
      <w:pPr>
        <w:keepNext/>
        <w:spacing w:after="40" w:before="20" w:line="280"/>
        <w:ind w:left="200"/>
      </w:pPr>
      <w:hyperlink w:history="1" r:id="rIdlquceo1iihxa6vfy4hc_o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ScienceDirect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：你 PDF 里已经引了，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H10 的核心前序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。它建立了"游戏文化认同 → 现实旅游意向"的路径，但同样是问卷研究。你的增量在于：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用实验 + 真实行为数据（二维码点击、到馆记录）替代意向自陈。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【注意】 期刊名与作者我未能完全核实，导入文献管理器后请补。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C-2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How Digital Mythological Narratives in Video Games Enhance Audiences' Destination Perceptions and Travel Intentions: Evidence from YouTube Comments on Black Myth: Wukong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Sustainability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18(1))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10.3390/su18010160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：2022.12–2025.05 的 40,500 条 YouTube 评论，量化跨文化"认知—情感—意向"链。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跨文化 + 大样本文本数据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的路径，和 C-1 的问卷路径互补。给你一个低成本的研究选项：如果实验招募困难，UGC 文本挖掘是可行的替代。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C-3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The tourism impact and mechanism of digital games on associated real-world locations: A case study of Black Myth: Wukong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《自然资源学报》)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10.31497/zrzyxb.20260613</w:t>
      </w:r>
      <w:r>
        <w:rPr>
          <w:rFonts w:ascii="Calibri" w:cs="Calibri" w:eastAsia="微软雅黑" w:hAnsi="Calibri"/>
          <w:color w:val="1A1A1A"/>
          <w:sz w:val="19"/>
          <w:szCs w:val="19"/>
        </w:rPr>
        <w:t xml:space="preserve"> ｜ </w:t>
      </w:r>
      <w:hyperlink w:history="1" r:id="rIdazd1fycut_m52qe48fi56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链接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327 个景区、游戏发布前后 30 周的面板数据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这是 C 组方法学上最硬的一篇，而且是中文 C 刊。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它用的是准实验（前后 + 面板），拿到的是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真实客流数据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而非意向。你的 H10 如果想真正立得住，这才是标杆——不是问"你想去吗"，而是看"客流变了吗"。武汉有博物馆、有文旅局数据，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你有条件复制这个设计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。强烈建议精读。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C-4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The impact of video game experiences on destination image and visit intention: exploring the moderating role of character attachment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Journal of Hospitality and Tourism Technology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10.1108/JHTT-04-2025-0342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角色依恋作为调节变量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——这一篇把 B 组（角色依恋）和 C 组（外溢行为）直接缝在一起，正是你 H8 + H10 的交叉点。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你的三条主线要证明自己"相互咬合而非割裂"，这篇就是咬合点的现成证据。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C-5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From pixels to places: how video games influence real-world travel to natural and cultural heritage sites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Humanities and Social Sciences Communications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10.1038/s41599-026-07299-5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：明确聚焦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文化遗产地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（而非一般目的地），与你的场景完全一致。OA，优先下载。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C-6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Video game-inspired tourism: A synergistic framework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Tourism Management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hyperlink w:history="1" r:id="rIdwhqzbr8kfsgcuwzeht3g6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ScienceDirect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Tourism Management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是旅游学顶刊，这篇是该领域的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框架性文献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。引它等于宣告你知道这个领域的天花板在哪。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C-7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From Virtual Worlds to Real Places: A Journey Through Video Game Play, Flow, and Place Attachment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(2026,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Tourism and Hospitality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7(4))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10.3390/tourhosp7040099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：提出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依恋的形成不需要实体到场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，数字中介的临场感即可产生，且成熟后会镜像现实地方依恋的情感、认知、行为结构。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"虚拟地方依恋"概念的直接来源。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你的 CGEL 里"情感连接"包含地方依恋，这篇论证了它在虚拟环境中成立——这是 H10 的理论前提，不能跳过。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C-8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Trusting the Virtual, Traveling the Real: How Destination Trust in Video Games Shapes Real-World Travel Willingness Through Player Type Differences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Administrative Sciences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15(12))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10.3390/admsci15120470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：引入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玩家类型差异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作为调节。你的 PDF 里把"游戏经验"列为用户调节变量，这篇提供了更细的分型依据。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C-9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A three-dimensional study on the international communication of Black Myth: Wukong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International Communication of Chinese Culture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10.1007/s40636-025-00322-5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C-10 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Gaming as a Cultural Bridge: Black Myth: Wukong and Its Effect on Perception Towards China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Springer)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10.1007/978-3-032-12764-8_14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：《黑神话》的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国际传播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视角。如果你未来想把长江文化做对外传播（这在武汉的政策语境里很受欢迎），这两篇是切入点。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C-11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Williams &amp; Vaske (2003). The measurement of place attachment: Validity and generalizability of a psychometric approach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Forest Science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49(6), 830–840) — 经典</w:t>
      </w:r>
    </w:p>
    <w:p>
      <w:pPr>
        <w:keepNext/>
        <w:spacing w:after="40" w:before="20" w:line="280"/>
        <w:ind w:left="200"/>
      </w:pPr>
      <w:hyperlink w:history="1" r:id="rId1tdfyplhlperrizeoqb-1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USFS 全文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：确立地方依恋的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两维结构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——地方依赖（place dependence）与地方认同（place identity），并验证跨场所的普适性；12 题的 PAI 量表。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你"地方依恋"变量的标准量表，直接用。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而且它的两维结构对你特别有意义：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地方依赖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（功能性）在虚拟环境中可能不成立，而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地方认同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（情感性）可能成立——这个不对称本身就是个可发表的发现。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C-12 </w:t>
      </w:r>
      <w:r>
        <w:rPr>
          <w:rFonts w:ascii="Calibri" w:cs="Calibri" w:eastAsia="微软雅黑" w:hAnsi="Calibri"/>
          <w:b/>
          <w:bCs/>
          <w:color w:val="B03030"/>
          <w:sz w:val="18"/>
          <w:szCs w:val="18"/>
        </w:rPr>
        <w:t xml:space="preserve">［必读］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Thomson, MacInnis &amp; Park (2005). The ties that bind: Measuring the strength of consumers' emotional attachments to brands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Journal of Consumer Psychology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15(1), 77–91) — 经典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10.1207/s15327663jcp1501_10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：情感依恋量表（情感 / 激情 / 联结三维），并验证其区别于满意度和卷入度。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你"IP依恋"变量的量表来源。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关键价值在于它证明了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依恋 ≠ 满意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——这正好对应你 RQ-C 想区分的"娱乐满意度 vs 真正的文化认同"。这个区分是你整个课题的立身之本，它的方法学先例就在这里。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C-13 </w:t>
      </w:r>
      <w:r>
        <w:rPr>
          <w:rFonts w:ascii="Calibri" w:cs="Calibri" w:eastAsia="微软雅黑" w:hAnsi="Calibri"/>
          <w:b/>
          <w:bCs/>
          <w:color w:val="1F4E79"/>
          <w:sz w:val="18"/>
          <w:szCs w:val="18"/>
        </w:rPr>
        <w:t xml:space="preserve">［量表·方法］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Park, MacInnis, Priester, Eisingerich &amp; Iacobucci (2010). Brand attachment and brand attitude strength: Conceptual and empirical differentiation of two critical brand equity drivers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Journal of Marketing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, 74(6)) — 经典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10.1509/jmkg.74.6.1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：进一步区分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依恋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与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态度强度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，并证明依恋更能预测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实际行为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（而非仅意向）。这直接支持你用行为指标而非意向指标做因变量。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C-14 Jenkins, H. (2006). </w:t>
      </w:r>
      <w:r>
        <w:rPr>
          <w:rFonts w:ascii="Calibri" w:cs="Calibri" w:eastAsia="微软雅黑" w:hAnsi="Calibri"/>
          <w:b/>
          <w:bCs/>
          <w:i/>
          <w:iCs/>
          <w:color w:val="1A1A1A"/>
          <w:sz w:val="21"/>
          <w:szCs w:val="21"/>
        </w:rPr>
        <w:t xml:space="preserve">Convergence Culture: Where Old and New Media Collide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（专著）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— 跨媒介叙事奠基作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：H9（跨媒介一致性）的理论源头。【注意】 但请注意：Jenkins 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理论与文化批评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，不提供可检验的一致性指标。你的 H9 要做实验，就必须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自己操作化"世界观/角色/视觉/故事/史实五层一致性"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——这反而是你能做出原创贡献的地方（类似 CIDI，可以做一个"跨媒介一致性指数"）。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C-15 </w:t>
      </w:r>
      <w:r>
        <w:rPr>
          <w:rFonts w:ascii="Calibri" w:cs="Calibri" w:eastAsia="微软雅黑" w:hAnsi="Calibri"/>
          <w:b/>
          <w:bCs/>
          <w:color w:val="1E7A44"/>
          <w:sz w:val="18"/>
          <w:szCs w:val="18"/>
        </w:rPr>
        <w:t xml:space="preserve">［开放获取］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 Transmedia storytelling: expanding formatted contents in global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(2025,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Frontiers in Communication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)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10.3389/fcomm.2025.1692175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：近期跨媒介叙事研究的计量分析，指出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跨媒介叙事研究与 AI 传播研究之间存在明显学术断层（无共同作者、无交叉论文）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【注意】 这条信息对你非常重要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：你的课题恰好跨在这两个领域之间。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断层意味着空白，空白意味着机会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——但也意味着你要同时说服两个互不往来的审稿群体。建议你的论文在框架上明确"桥接"这一断层，把它作为贡献之一写出来。</w:t>
      </w:r>
    </w:p>
    <w:p>
      <w:pPr>
        <w:pBdr>
          <w:bottom w:val="single" w:color="C8C8C8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1F4E79" w:sz="8" w:space="4"/>
        </w:pBdr>
        <w:spacing w:after="160" w:before="380"/>
        <w:outlineLvl w:val="1"/>
      </w:pPr>
      <w:r>
        <w:rPr>
          <w:rFonts w:ascii="Calibri" w:cs="Calibri" w:eastAsia="微软雅黑" w:hAnsi="Calibri"/>
          <w:b/>
          <w:bCs/>
          <w:color w:val="1F4E79"/>
          <w:sz w:val="27"/>
          <w:szCs w:val="27"/>
        </w:rPr>
        <w:t xml:space="preserve">5. D 组：武汉—长江本地资源与政策</w:t>
      </w:r>
    </w:p>
    <w:p>
      <w:pPr>
        <w:pBdr>
          <w:left w:val="single" w:color="1F4E79" w:sz="14" w:space="10"/>
        </w:pBdr>
        <w:shd w:fill="F2F6FA" w:val="clear"/>
        <w:spacing w:after="40" w:before="140" w:line="290"/>
        <w:ind w:left="340" w:right="200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你的 PDF 里已经列了武汉市社科基金、数字内容产业行动方案、文旅元宇宙方案等。这里只补充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长江文化层面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的、你之前没有的。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D-1 《长江国家文化公园建设保护规划》答记者问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（文化和旅游部，2025-01）</w:t>
      </w:r>
    </w:p>
    <w:p>
      <w:pPr>
        <w:keepNext/>
        <w:spacing w:after="40" w:before="20" w:line="280"/>
        <w:ind w:left="200"/>
      </w:pPr>
      <w:hyperlink w:history="1" r:id="rIdsmmvospvrot-hngjsht5d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链接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国家级规划的权威解读，是你所有"长江文化"课题的顶层政策依据。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涉及 13 个省市，武汉是核心节点之一。基金本子的"选题依据"第一段应该从这里起。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D-2 长江文化蓝皮书解读：文艺创作、学术研究和传播领域新趋势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（2025）</w:t>
      </w:r>
    </w:p>
    <w:p>
      <w:pPr>
        <w:keepNext/>
        <w:spacing w:after="40" w:before="20" w:line="280"/>
        <w:ind w:left="200"/>
      </w:pPr>
      <w:hyperlink w:history="1" r:id="rIdptzm-hjx8b5dk0fvjgyac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链接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：2024–2025 年长江文化研究呈现"核心区域集聚、跨学科渗透、核心议题导向"特征，向文旅融合、数字技术领域延伸。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这是判断"长江文化研究竞争格局"的最快入口。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它告诉你别人在做什么、哪里还空着。建议每年更新一次。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D-3 湖北省图书馆·长江国家文化公园建设专题文献信息参考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（2024-01）</w:t>
      </w:r>
    </w:p>
    <w:p>
      <w:pPr>
        <w:keepNext/>
        <w:spacing w:after="40" w:before="20" w:line="280"/>
        <w:ind w:left="200"/>
      </w:pPr>
      <w:hyperlink w:history="1" r:id="rIdzddoj2abjgbpgn96koqwp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PDF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现成的本地专题文献汇编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，省掉你大量检索工作。湖北本地机构编的，政策口径准确。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D-4 鄂苏皖赣湘云贵七省党报联动：把长江文化保护好、传承好、弘扬好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（2025）</w:t>
      </w:r>
    </w:p>
    <w:p>
      <w:pPr>
        <w:keepNext/>
        <w:spacing w:after="40" w:before="20" w:line="280"/>
        <w:ind w:left="200"/>
      </w:pPr>
      <w:hyperlink w:history="1" r:id="rIdupexdelzzrf2nzxpbjjlw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链接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：跨省协同的舆论口径。写申报书时的话语资源。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D-5 数字文化战略视域下文化遗产数字化传承：机理、挑战与路径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（2024，《大学图书馆学报》）</w:t>
      </w:r>
    </w:p>
    <w:p>
      <w:pPr>
        <w:keepNext/>
        <w:spacing w:after="40" w:before="20" w:line="280"/>
        <w:ind w:left="200"/>
      </w:pPr>
      <w:hyperlink w:history="1" r:id="rIdh1ils15goizqxzgwnd_mn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链接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内容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：从技术、市场、文化、社会四维分析机理，指出"信息孤岛"、技术选择不确定性、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社会参与度与文化认同不高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等挑战。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中文 C 刊里最对口的"问题诊断"文献。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"文化认同不高"被明确列为挑战——这就是你研究的现实必要性论证。中文本子里引它，比引英文更有说服力。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D-6 数字博物馆游戏化传播路径探索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（2024）</w:t>
      </w:r>
    </w:p>
    <w:p>
      <w:pPr>
        <w:keepNext/>
        <w:spacing w:after="40" w:before="20" w:line="280"/>
        <w:ind w:left="200"/>
      </w:pPr>
      <w:hyperlink w:history="1" r:id="rIdo-tg7c5mgnmacpnxmmbpe">
        <w:r>
          <w:rPr>
            <w:rFonts w:ascii="Calibri" w:cs="Calibri" w:eastAsia="微软雅黑" w:hAnsi="Calibri"/>
            <w:color w:val="1155CC"/>
            <w:sz w:val="19"/>
            <w:szCs w:val="19"/>
            <w:u w:val="single"/>
          </w:rPr>
          <w:t xml:space="preserve">链接</w:t>
        </w:r>
      </w:hyperlink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：中文语境下"数字博物馆 + 游戏化"的路径梳理（以 Google Arts &amp; Culture 为例）。【注意】 属于一般期刊，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作为现状素材用，不作为理论依据引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keepNext/>
        <w:pBdr>
          <w:left w:val="single" w:color="D0D7E0" w:sz="12" w:space="8"/>
        </w:pBdr>
        <w:spacing w:after="40" w:before="240" w:line="290"/>
        <w:ind w:left="20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D-7 知识图谱驱动的非遗数字化保护：中西方实施范式的跨文化比较研究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（2025, </w:t>
      </w: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Humanities and Social Sciences Communications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）</w:t>
      </w:r>
    </w:p>
    <w:p>
      <w:pPr>
        <w:keepNext/>
        <w:spacing w:after="40" w:before="20" w:line="280"/>
        <w:ind w:left="200"/>
      </w:pPr>
      <w:r>
        <w:rPr>
          <w:rFonts w:ascii="Calibri" w:cs="Calibri" w:eastAsia="微软雅黑" w:hAnsi="Calibri"/>
          <w:color w:val="1A1A1A"/>
          <w:sz w:val="19"/>
          <w:szCs w:val="19"/>
        </w:rPr>
        <w:t xml:space="preserve">DOI: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10.1038/s41599-025-06186-9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理由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：中西对比的非遗数字化范式研究，OA。你做长江文化知识库时的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中国范式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参照。</w:t>
      </w:r>
    </w:p>
    <w:p>
      <w:pPr>
        <w:pBdr>
          <w:bottom w:val="single" w:color="C8C8C8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1F4E79" w:sz="8" w:space="4"/>
        </w:pBdr>
        <w:spacing w:after="160" w:before="380"/>
        <w:outlineLvl w:val="1"/>
      </w:pPr>
      <w:r>
        <w:rPr>
          <w:rFonts w:ascii="Calibri" w:cs="Calibri" w:eastAsia="微软雅黑" w:hAnsi="Calibri"/>
          <w:b/>
          <w:bCs/>
          <w:color w:val="1F4E79"/>
          <w:sz w:val="27"/>
          <w:szCs w:val="27"/>
        </w:rPr>
        <w:t xml:space="preserve">6. 如果只读 10 篇（按阅读顺序）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我按"读完就能动笔写本子"的顺序排：</w:t>
      </w:r>
    </w:p>
    <w:tbl>
      <w:tblPr>
        <w:tblW w:type="dxa" w:w="9070"/>
        <w:tblBorders>
          <w:top w:val="single" w:color="B8C4D0" w:sz="4"/>
          <w:left w:val="single" w:color="B8C4D0" w:sz="4"/>
          <w:bottom w:val="single" w:color="B8C4D0" w:sz="4"/>
          <w:right w:val="single" w:color="B8C4D0" w:sz="4"/>
          <w:insideH w:val="single" w:color="D8DEE5" w:sz="2"/>
          <w:insideV w:val="single" w:color="D8DEE5" w:sz="2"/>
        </w:tblBorders>
      </w:tblPr>
      <w:tblGrid>
        <w:gridCol w:w="606"/>
        <w:gridCol w:w="5240"/>
        <w:gridCol w:w="3224"/>
      </w:tblGrid>
      <w:tr>
        <w:trPr>
          <w:tblHeader/>
        </w:trPr>
        <w:tc>
          <w:tcPr>
            <w:tcW w:type="dxa" w:w="606"/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5240"/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文献</w:t>
            </w:r>
          </w:p>
        </w:tc>
        <w:tc>
          <w:tcPr>
            <w:tcW w:type="dxa" w:w="3224"/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读它是为了</w:t>
            </w:r>
          </w:p>
        </w:tc>
      </w:tr>
      <w:tr>
        <w:trPr>
          <w:tblHeader w:val="false"/>
        </w:trPr>
        <w:tc>
          <w:tcPr>
            <w:tcW w:type="dxa" w:w="6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2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A1-1</w:t>
            </w: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 Beyond entertainment (2026)</w:t>
            </w:r>
          </w:p>
        </w:tc>
        <w:tc>
          <w:tcPr>
            <w:tcW w:type="dxa" w:w="32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确认你的锚点和缺口</w:t>
            </w:r>
          </w:p>
        </w:tc>
      </w:tr>
      <w:tr>
        <w:trPr>
          <w:tblHeader w:val="false"/>
        </w:trPr>
        <w:tc>
          <w:tcPr>
            <w:tcW w:type="dxa" w:w="606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5240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A1-2</w:t>
            </w: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 Integrating ICH into mobile games (2026)</w:t>
            </w:r>
          </w:p>
        </w:tc>
        <w:tc>
          <w:tcPr>
            <w:tcW w:type="dxa" w:w="3224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想清楚 CIDI 和已有量表的区别</w:t>
            </w:r>
          </w:p>
        </w:tc>
      </w:tr>
      <w:tr>
        <w:trPr>
          <w:tblHeader w:val="false"/>
        </w:trPr>
        <w:tc>
          <w:tcPr>
            <w:tcW w:type="dxa" w:w="6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52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A3-1</w:t>
            </w: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 Jennett 沉浸量表 (2008)</w:t>
            </w:r>
          </w:p>
        </w:tc>
        <w:tc>
          <w:tcPr>
            <w:tcW w:type="dxa" w:w="32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定下你的核心体验变量</w:t>
            </w:r>
          </w:p>
        </w:tc>
      </w:tr>
      <w:tr>
        <w:trPr>
          <w:tblHeader w:val="false"/>
        </w:trPr>
        <w:tc>
          <w:tcPr>
            <w:tcW w:type="dxa" w:w="606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5240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A3-2</w:t>
            </w: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 Green &amp; Brock 叙事运输 (2000)</w:t>
            </w:r>
          </w:p>
        </w:tc>
        <w:tc>
          <w:tcPr>
            <w:tcW w:type="dxa" w:w="3224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定下你的叙事机制变量</w:t>
            </w:r>
          </w:p>
        </w:tc>
      </w:tr>
      <w:tr>
        <w:trPr>
          <w:tblHeader w:val="false"/>
        </w:trPr>
        <w:tc>
          <w:tcPr>
            <w:tcW w:type="dxa" w:w="6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52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A4-11</w:t>
            </w: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 Burgess &amp; Jones 历史真实性 (2022)</w:t>
            </w:r>
          </w:p>
        </w:tc>
        <w:tc>
          <w:tcPr>
            <w:tcW w:type="dxa" w:w="32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想清楚"真实性"到底怎么测</w:t>
            </w:r>
          </w:p>
        </w:tc>
      </w:tr>
      <w:tr>
        <w:trPr>
          <w:tblHeader w:val="false"/>
        </w:trPr>
        <w:tc>
          <w:tcPr>
            <w:tcW w:type="dxa" w:w="606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5240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B2-8</w:t>
            </w: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 LLM 教学智能体 VR 历史实验 (CHI 2025)</w:t>
            </w:r>
          </w:p>
        </w:tc>
        <w:tc>
          <w:tcPr>
            <w:tcW w:type="dxa" w:w="3224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直接照搬实验设计</w:t>
            </w:r>
          </w:p>
        </w:tc>
      </w:tr>
      <w:tr>
        <w:trPr>
          <w:tblHeader w:val="false"/>
        </w:trPr>
        <w:tc>
          <w:tcPr>
            <w:tcW w:type="dxa" w:w="6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52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B4-3</w:t>
            </w: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 博物馆数字人：拟人管临场、智能管信任 (2026)</w:t>
            </w:r>
          </w:p>
        </w:tc>
        <w:tc>
          <w:tcPr>
            <w:tcW w:type="dxa" w:w="32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避免把自变量混在一起</w:t>
            </w:r>
          </w:p>
        </w:tc>
      </w:tr>
      <w:tr>
        <w:trPr>
          <w:tblHeader w:val="false"/>
        </w:trPr>
        <w:tc>
          <w:tcPr>
            <w:tcW w:type="dxa" w:w="606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5240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B3-1</w:t>
            </w: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 Lewis 角色依恋量表 (2008)</w:t>
            </w:r>
          </w:p>
        </w:tc>
        <w:tc>
          <w:tcPr>
            <w:tcW w:type="dxa" w:w="3224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定下你的依恋变量</w:t>
            </w:r>
          </w:p>
        </w:tc>
      </w:tr>
      <w:tr>
        <w:trPr>
          <w:tblHeader w:val="false"/>
        </w:trPr>
        <w:tc>
          <w:tcPr>
            <w:tcW w:type="dxa" w:w="6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52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C-3</w:t>
            </w: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 黑神话面板数据研究 (2026, 中文)</w:t>
            </w:r>
          </w:p>
        </w:tc>
        <w:tc>
          <w:tcPr>
            <w:tcW w:type="dxa" w:w="32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看真实行为数据怎么做</w:t>
            </w:r>
          </w:p>
        </w:tc>
      </w:tr>
      <w:tr>
        <w:trPr>
          <w:tblHeader w:val="false"/>
        </w:trPr>
        <w:tc>
          <w:tcPr>
            <w:tcW w:type="dxa" w:w="606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5240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b/>
                <w:bCs/>
                <w:color w:val="1A1A1A"/>
                <w:sz w:val="19"/>
                <w:szCs w:val="19"/>
              </w:rPr>
              <w:t xml:space="preserve">B4-11</w:t>
            </w: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 LLM 文化偏见 (PNAS Nexus 2024)</w:t>
            </w:r>
          </w:p>
        </w:tc>
        <w:tc>
          <w:tcPr>
            <w:tcW w:type="dxa" w:w="3224"/>
            <w:shd w:fill="FAFB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微软雅黑" w:hAnsi="Calibri"/>
                <w:color w:val="1A1A1A"/>
                <w:sz w:val="19"/>
                <w:szCs w:val="19"/>
              </w:rPr>
              <w:t xml:space="preserve">论证 RAG 的科学必要性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读完这 10 篇，你的 CGEL 模型每一环都有了量表、每一条假设都有了先例、每一个方法选择都有了辩护。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大概两周的量。</w:t>
      </w:r>
    </w:p>
    <w:p>
      <w:pPr>
        <w:pBdr>
          <w:bottom w:val="single" w:color="C8C8C8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1F4E79" w:sz="8" w:space="4"/>
        </w:pBdr>
        <w:spacing w:after="160" w:before="380"/>
        <w:outlineLvl w:val="1"/>
      </w:pPr>
      <w:r>
        <w:rPr>
          <w:rFonts w:ascii="Calibri" w:cs="Calibri" w:eastAsia="微软雅黑" w:hAnsi="Calibri"/>
          <w:b/>
          <w:bCs/>
          <w:color w:val="1F4E79"/>
          <w:sz w:val="27"/>
          <w:szCs w:val="27"/>
        </w:rPr>
        <w:t xml:space="preserve">7. 我看到的三个研究空白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这是我在整理过程中，认为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真实存在、且你有条件占住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的空白。按机会大小排序：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空白一：文化整合"深度"从来没有被客观编码过。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现有研究（A1-1、A1-2）测的都是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玩家感知的文化嵌入程度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——这是主观变量，会和文化认同产生共同方法偏差（都是同一份问卷里的自陈）。没有人做过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由专家对作品本身编码的客观整合深度指标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。你的 CIDI 如果做成，等于给这个领域提供了一把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独立于被试的尺子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，别人做研究都得引你。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→ 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这是你最值得先做的一件事，也是最可能形成个人学术标签的一件事。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建议 2027 年优先完成 CIDI 的开发与信效度检验，单独发一篇工具性论文。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空白二："拟人度"和"智能度"在文化 AI 研究里长期被混为一谈。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B4-3 刚刚把它们拆开（拟人→临场感，智能→信任），但只做了博物馆全息舱一个场景。而绝大多数 AI 文化角色研究仍然把"更像人"和"更懂文化"打包成一个自变量。你的三组 NPC 实验（脚本 / 通用LLM / RAG）本质上是在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只操纵智能度、控制拟人度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——这个设计本身就是方法论贡献。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→ 建议在实验设计里明确做成 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2×2：拟人度（低/高）× 知识接地（通用LLM/RAG）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，一次实验拿两个发现。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空白三：跨媒介叙事研究与 AI 传播研究之间存在实质性断层。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C-15 的计量分析指出这两个领域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无共同作者、无交叉论文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。而你的课题（文化 IP 跨媒介 + AI 角色）恰好同时站在两边。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→ 这既是机会也是风险。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机会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是没人做过；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风险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是两边审稿人都会觉得你"不是我们领域的"。我的建议：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不要试图同时取悦两边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。前三年把重心放在 A 组（游戏与文化学习），这个领域的评价标准最清晰、最容易出稳定成果；B 组和 C 组作为前沿延伸，等 A 组建立了学术身份再全力推进。你的 PDF 里"70% 实证 + 20% 原型 + 10% 竞赛"的分配是对的，我会再加一句：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这 70% 的前三年，至少一半应该压在 A 组。</w:t>
      </w:r>
    </w:p>
    <w:p>
      <w:pPr>
        <w:pBdr>
          <w:bottom w:val="single" w:color="C8C8C8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1F4E79" w:sz="8" w:space="4"/>
        </w:pBdr>
        <w:spacing w:after="160" w:before="380"/>
        <w:outlineLvl w:val="1"/>
      </w:pPr>
      <w:r>
        <w:rPr>
          <w:rFonts w:ascii="Calibri" w:cs="Calibri" w:eastAsia="微软雅黑" w:hAnsi="Calibri"/>
          <w:b/>
          <w:bCs/>
          <w:color w:val="1F4E79"/>
          <w:sz w:val="27"/>
          <w:szCs w:val="27"/>
        </w:rPr>
        <w:t xml:space="preserve">8. 获取状态与局限（请务必看）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关于"下载"，我必须如实说明：这个远程会话的出网被网络策略限制，arXiv、MDPI、Frontiers、Nature、ACL、Crossref、Semantic Scholar 全部返回 403，所以我无法在这里把 PDF 抓下来。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我做了三件替代的事：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refs.bib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—— 全部 106 条的 BibTeX，可直接拖进 Zotero / EndNote / NoteExpress。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Zotero 导入后选中全部条目 → 右键 "Find Available PDFs"，开放获取的那些会自动下载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，这比我一个个抓更快也更可靠。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download_oa_pdfs.sh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—— 在你自己电脑上跑，批量抓我已确认的开放获取直链 PDF（约 30 篇），存到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pdfs/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Calibri" w:cs="Calibri" w:eastAsia="微软雅黑" w:hAnsi="Calibri"/>
          <w:color w:val="1A1A1A"/>
          <w:sz w:val="21"/>
          <w:szCs w:val="21"/>
        </w:rPr>
        <w:t xml:space="preserve">每条都给了可点的链接，</w:t>
      </w:r>
      <w:r>
        <w:rPr>
          <w:rFonts w:ascii="Calibri" w:cs="Calibri" w:eastAsia="微软雅黑" w:hAnsi="Calibri"/>
          <w:b/>
          <w:bCs/>
          <w:color w:val="6B6B6B"/>
          <w:sz w:val="18"/>
          <w:szCs w:val="18"/>
        </w:rPr>
        <w:t xml:space="preserve">［需订阅］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的用湖工大图书馆的 CNKI / Web of Science / ScienceDirect 镜像取。</w:t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另外三点局限，说在前面：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元数据核验程度不一。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我能从 URL 直接推出 DOI 的（Frontiers、MDPI、Nature、ACM、Emerald、Sage、T&amp;F、Springer）都写了 DOI；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推不出的我宁可留空，也没有凭记忆填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——凭记忆写 DOI 出错率不低，而错的 DOI 比没有 DOI 更麻烦。留空的那些，Zotero 按标题就能自动补全。部分条目的作者与卷期我只拿到检索层面的信息，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refs.bib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里标了 </w:t>
      </w:r>
      <w:r>
        <w:rPr>
          <w:rFonts w:ascii="Consolas" w:cs="Consolas" w:eastAsia="微软雅黑" w:hAnsi="Consolas"/>
          <w:color w:val="1F4E79"/>
          <w:sz w:val="19"/>
          <w:szCs w:val="19"/>
        </w:rPr>
        <w:t xml:space="preserve">【注意】待核验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中文文献覆盖不足。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CNKI、万方、维普我在这个环境里访问不到，D 组的中文文献是通过公开网页找到的。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《装饰》《南京艺术学院学报》《现代传播》《新闻与传播研究》《图书情报工作》这几本你必须自己在 CNKI 上补检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——中文 C 刊的文献你申报武汉市社科基金时是刚需，这块我帮不上。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2026 年的文献不要过度依赖。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A 组和 B 组里有不少 2026 年的 Frontiers / MDPI 论文，它们时效性最好，但被引数据还没形成，质量参差。</w:t>
      </w:r>
      <w:r>
        <w:rPr>
          <w:rFonts w:ascii="Calibri" w:cs="Calibri" w:eastAsia="微软雅黑" w:hAnsi="Calibri"/>
          <w:b/>
          <w:bCs/>
          <w:color w:val="1A1A1A"/>
          <w:sz w:val="21"/>
          <w:szCs w:val="21"/>
        </w:rPr>
        <w:t xml:space="preserve">当"研究现状"引，不要当"理论依据"引。</w:t>
      </w:r>
      <w:r>
        <w:rPr>
          <w:rFonts w:ascii="Calibri" w:cs="Calibri" w:eastAsia="微软雅黑" w:hAnsi="Calibri"/>
          <w:color w:val="1A1A1A"/>
          <w:sz w:val="21"/>
          <w:szCs w:val="21"/>
        </w:rPr>
        <w:t xml:space="preserve"> 理论依据请一律落在 A-3 和 B-3 的经典上。</w:t>
      </w:r>
    </w:p>
    <w:p>
      <w:pPr>
        <w:pBdr>
          <w:bottom w:val="single" w:color="C8C8C8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60" w:before="60" w:line="300"/>
        <w:jc w:val="left"/>
      </w:pPr>
      <w:r>
        <w:rPr>
          <w:rFonts w:ascii="Calibri" w:cs="Calibri" w:eastAsia="微软雅黑" w:hAnsi="Calibri"/>
          <w:i/>
          <w:iCs/>
          <w:color w:val="1A1A1A"/>
          <w:sz w:val="21"/>
          <w:szCs w:val="21"/>
        </w:rPr>
        <w:t xml:space="preserve">文献库版本 v1.0 ｜ 建议每年 9 月刷新一次 A 组与 B 组的近三年部分，经典层保持不动。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微软雅黑" w:hAnsi="Calibri"/>
        <w:color w:val="6B6B6B"/>
        <w:sz w:val="17"/>
        <w:szCs w:val="17"/>
      </w:rPr>
      <w:t xml:space="preserve"/>
    </w:r>
    <w:r>
      <w:rPr>
        <w:rFonts w:ascii="Calibri" w:cs="Calibri" w:eastAsia="微软雅黑" w:hAnsi="Calibri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微软雅黑" w:hAnsi="Calibri"/>
        <w:color w:val="6B6B6B"/>
        <w:sz w:val="17"/>
        <w:szCs w:val="17"/>
      </w:rPr>
      <w:t xml:space="preserve"> / </w:t>
    </w:r>
    <w:r>
      <w:rPr>
        <w:rFonts w:ascii="Calibri" w:cs="Calibri" w:eastAsia="微软雅黑" w:hAnsi="Calibri"/>
        <w:color w:val="6B6B6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80" w:hanging="240"/>
      </w:pPr>
    </w:lvl>
    <w:lvl w:ilvl="2" w15:tentative="1">
      <w:start w:val="1"/>
      <w:numFmt w:val="bullet"/>
      <w:lvlText w:val="▪"/>
      <w:lvlJc w:val="left"/>
      <w:pPr>
        <w:ind w:left="10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)"/>
      <w:lvlJc w:val="left"/>
      <w:pPr>
        <w:ind w:left="680" w:hanging="240"/>
      </w:pPr>
    </w:lvl>
    <w:lvl w:ilvl="2" w15:tentative="1">
      <w:start w:val="1"/>
      <w:numFmt w:val="lowerRoman"/>
      <w:lvlText w:val="%3."/>
      <w:lvlJc w:val="left"/>
      <w:pPr>
        <w:ind w:left="10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微软雅黑" w:hAnsi="Calibri"/>
        <w:color w:val="1A1A1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微软雅黑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微软雅黑" w:hAnsi="Calibri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微软雅黑" w:hAnsi="Calibri"/>
      <w:b/>
      <w:bCs/>
      <w:color w:val="1A1A1A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微软雅黑" w:hAnsi="Calibri"/>
      <w:b/>
      <w:bCs/>
      <w:color w:val="1A1A1A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t8kwtybhiq2t_q8rxp9z" Type="http://schemas.openxmlformats.org/officeDocument/2006/relationships/hyperlink" Target="https://www.frontiersin.org/journals/psychology/articles/10.3389/fpsyg.2026.1855866/full" TargetMode="External"/><Relationship Id="rIdmbmrkwtrblc5wqli-cyg0" Type="http://schemas.openxmlformats.org/officeDocument/2006/relationships/hyperlink" Target="https://pmc.ncbi.nlm.nih.gov/articles/PMC13350191/" TargetMode="External"/><Relationship Id="rIdmkebqbrcjod1xbtzws7p5" Type="http://schemas.openxmlformats.org/officeDocument/2006/relationships/hyperlink" Target="https://www.emerald.com/insight/content/doi/10.1108/itp-01-2024-0088/full/html" TargetMode="External"/><Relationship Id="rIdaaqv7u18oqgwty-wnk8lo" Type="http://schemas.openxmlformats.org/officeDocument/2006/relationships/hyperlink" Target="https://www.frontiersin.org/journals/psychology/articles/10.3389/fpsyg.2026.1880795/full" TargetMode="External"/><Relationship Id="rIdlhbi23yx-sausk41gmnx-" Type="http://schemas.openxmlformats.org/officeDocument/2006/relationships/hyperlink" Target="https://pmc.ncbi.nlm.nih.gov/articles/PMC13422570/" TargetMode="External"/><Relationship Id="rIdevu3xz6d6szvsqnjrtdwa" Type="http://schemas.openxmlformats.org/officeDocument/2006/relationships/hyperlink" Target="https://www.frontiersin.org/journals/psychology/articles/10.3389/fpsyg.2025.1536513/full" TargetMode="External"/><Relationship Id="rIdsrjvsw5xwxqrddxcssevf" Type="http://schemas.openxmlformats.org/officeDocument/2006/relationships/hyperlink" Target="https://www.frontiersin.org/journals/virtual-reality/articles/10.3389/frvir.2026.1833878/full" TargetMode="External"/><Relationship Id="rIdqhr_51mu83aimhqbpqzsf" Type="http://schemas.openxmlformats.org/officeDocument/2006/relationships/hyperlink" Target="https://cddoc.uc.cl/wp-content/uploads/2020/03/Metaanalytic_review_rol_instructio.pdf" TargetMode="External"/><Relationship Id="rIdp4foxplcuzkzxiq70vqpj" Type="http://schemas.openxmlformats.org/officeDocument/2006/relationships/hyperlink" Target="https://www.researchgate.net/publication/399556970_Gamification_design_in_cultural_heritage_education_A_systematic_literature_review" TargetMode="External"/><Relationship Id="rIdnuzsfapudb9ijtgs2ezjq" Type="http://schemas.openxmlformats.org/officeDocument/2006/relationships/hyperlink" Target="https://www-users.york.ac.uk/paul.cairns/pubs/JennettIJHCS08.pdf" TargetMode="External"/><Relationship Id="rId83jg02gurqf2wuwjdtmy1" Type="http://schemas.openxmlformats.org/officeDocument/2006/relationships/hyperlink" Target="https://www.sciencedirect.com/science/article/abs/pii/S1071581908000499" TargetMode="External"/><Relationship Id="rIdhj0u8ecx0dsmtupgldr_g" Type="http://schemas.openxmlformats.org/officeDocument/2006/relationships/hyperlink" Target="http://www.communicationcache.com/uploads/1/0/8/8/10887248/the_role_of_transportation_in_the_persuasiveness_of_public_narratives.pdf" TargetMode="External"/><Relationship Id="rIdjtntoti8rjt9ksxakgfzt" Type="http://schemas.openxmlformats.org/officeDocument/2006/relationships/hyperlink" Target="https://pubmed.ncbi.nlm.nih.gov/11079236/" TargetMode="External"/><Relationship Id="rIdbhfda20uiudmxwxn1hlpq" Type="http://schemas.openxmlformats.org/officeDocument/2006/relationships/hyperlink" Target="https://openaccess.city.ac.uk/id/eprint/18870/1/Extended%20Transportation-Imagery%20Model%20CRO.pdf" TargetMode="External"/><Relationship Id="rId_ta2xfj-nao-8g5-fxur9" Type="http://schemas.openxmlformats.org/officeDocument/2006/relationships/hyperlink" Target="https://selfdeterminationtheory.org/SDT/documents/2006_RyanRigbyPrzybylski_MandE.pdf" TargetMode="External"/><Relationship Id="rIdjwommigf0fcv8_kgcodgf" Type="http://schemas.openxmlformats.org/officeDocument/2006/relationships/hyperlink" Target="https://selfdeterminationtheory.org/SDT/documents/2010_PrzybylskiRigbyRyan_ROGP.pdf" TargetMode="External"/><Relationship Id="rIdetfn439rhsuaflajb4jbi" Type="http://schemas.openxmlformats.org/officeDocument/2006/relationships/hyperlink" Target="https://dl.acm.org/doi/pdf/10.1145/1077246.1077253" TargetMode="External"/><Relationship Id="rIdzy08c-lxwsj3mqaj2y-ie" Type="http://schemas.openxmlformats.org/officeDocument/2006/relationships/hyperlink" Target="https://eprints.qut.edu.au/58216/15/JournCT-GameFlow.pdf" TargetMode="External"/><Relationship Id="rId3n9r6t8kr30x7hhpumnzg" Type="http://schemas.openxmlformats.org/officeDocument/2006/relationships/hyperlink" Target="http://creativegames.org.uk/modules/Gamification/Hamari_etal_Does_gamification_work-2014.pdf" TargetMode="External"/><Relationship Id="rIdgzcm1sw7p9e3yo-8mwuha" Type="http://schemas.openxmlformats.org/officeDocument/2006/relationships/hyperlink" Target="https://www.sciencedirect.com/science/article/pii/S0268401217305169" TargetMode="External"/><Relationship Id="rIdpr7yk2pwd266ecfiqbxnd" Type="http://schemas.openxmlformats.org/officeDocument/2006/relationships/hyperlink" Target="https://arxiv.org/pdf/2604.10107" TargetMode="External"/><Relationship Id="rIdhvamxgerafglo3l3o9qng" Type="http://schemas.openxmlformats.org/officeDocument/2006/relationships/hyperlink" Target="https://arxiv.org/pdf/2304.03442" TargetMode="External"/><Relationship Id="rIdmeslrltip7_zstewlzide" Type="http://schemas.openxmlformats.org/officeDocument/2006/relationships/hyperlink" Target="https://aclanthology.org/2025.naacl-long.323.pdf" TargetMode="External"/><Relationship Id="rId5o_wwa2fs7lzlha-1mlok" Type="http://schemas.openxmlformats.org/officeDocument/2006/relationships/hyperlink" Target="https://cescg.org/wp-content/uploads/2025/04/A-Quest-for-Information-Enhancing-Game-Based-Learning-with-LLM-Driven-NPCs-2.pdf" TargetMode="External"/><Relationship Id="rIdhark1prdxrtyi9hkbziew" Type="http://schemas.openxmlformats.org/officeDocument/2006/relationships/hyperlink" Target="https://aclanthology.org/2025.findings-naacl.46/" TargetMode="External"/><Relationship Id="rIdrxkbctmlyy4lspxkoskkk" Type="http://schemas.openxmlformats.org/officeDocument/2006/relationships/hyperlink" Target="https://aclanthology.org/2025.emnlp-main.980/" TargetMode="External"/><Relationship Id="rId7h3gdxqopvm2rh8adyiqk" Type="http://schemas.openxmlformats.org/officeDocument/2006/relationships/hyperlink" Target="https://pmc.ncbi.nlm.nih.gov/articles/PMC13470485/" TargetMode="External"/><Relationship Id="rIdgw8zk6tgn4okbbj44o2pu" Type="http://schemas.openxmlformats.org/officeDocument/2006/relationships/hyperlink" Target="https://academic.oup.com/dsh/article-abstract/41/2/1138/8643957" TargetMode="External"/><Relationship Id="rIdeqnt6yj8pfh14sw_whauo" Type="http://schemas.openxmlformats.org/officeDocument/2006/relationships/hyperlink" Target="http://net-workingworlds.weebly.com/uploads/1/5/1/5/15155460/videogames__identity.pdf" TargetMode="External"/><Relationship Id="rIdznwye6jevlu8wh-ic3lwf" Type="http://schemas.openxmlformats.org/officeDocument/2006/relationships/hyperlink" Target="https://www.sciencedirect.com/science/article/pii/S2949882126000757" TargetMode="External"/><Relationship Id="rIdqcpdhoy6tvopihritbrte" Type="http://schemas.openxmlformats.org/officeDocument/2006/relationships/hyperlink" Target="https://jps.ecnu.edu.cn/EN/10.16719/j.cnki.1671-6981.20250415" TargetMode="External"/><Relationship Id="rIdiwuol75otc4dvlle2gkww" Type="http://schemas.openxmlformats.org/officeDocument/2006/relationships/hyperlink" Target="https://pmc.ncbi.nlm.nih.gov/articles/PMC10702592/" TargetMode="External"/><Relationship Id="rIduvvco-qvxpe6bk6b3tlau" Type="http://schemas.openxmlformats.org/officeDocument/2006/relationships/hyperlink" Target="https://gamestudies.org/2001/articles/burgessjones" TargetMode="External"/><Relationship Id="rIdjqe_oqgsqv4us_ko2v7mw" Type="http://schemas.openxmlformats.org/officeDocument/2006/relationships/hyperlink" Target="https://pmc.ncbi.nlm.nih.gov/articles/PMC12649338/" TargetMode="External"/><Relationship Id="rIdkvn4gpckhsfqfgz0fdyd7" Type="http://schemas.openxmlformats.org/officeDocument/2006/relationships/hyperlink" Target="https://pmc.ncbi.nlm.nih.gov/articles/PMC13295875/" TargetMode="External"/><Relationship Id="rIdzfjtb093znafngyqpvkiw" Type="http://schemas.openxmlformats.org/officeDocument/2006/relationships/hyperlink" Target="https://jcom.sissa.it/article/pubid/JCOM_2501_2026_A09/" TargetMode="External"/><Relationship Id="rId1bsh_rloryvkbezbju20k" Type="http://schemas.openxmlformats.org/officeDocument/2006/relationships/hyperlink" Target="https://pmc.ncbi.nlm.nih.gov/articles/PMC11407280/" TargetMode="External"/><Relationship Id="rIdlquceo1iihxa6vfy4hc_o" Type="http://schemas.openxmlformats.org/officeDocument/2006/relationships/hyperlink" Target="https://www.sciencedirect.com/science/article/pii/S2211973626000620" TargetMode="External"/><Relationship Id="rIdazd1fycut_m52qe48fi56" Type="http://schemas.openxmlformats.org/officeDocument/2006/relationships/hyperlink" Target="https://www.jnr.ac.cn/EN/10.31497/zrzyxb.20260613" TargetMode="External"/><Relationship Id="rIdwhqzbr8kfsgcuwzeht3g6" Type="http://schemas.openxmlformats.org/officeDocument/2006/relationships/hyperlink" Target="https://www.sciencedirect.com/science/article/abs/pii/S0261517725001529" TargetMode="External"/><Relationship Id="rId1tdfyplhlperrizeoqb-1" Type="http://schemas.openxmlformats.org/officeDocument/2006/relationships/hyperlink" Target="https://research.fs.usda.gov/treesearch/23746" TargetMode="External"/><Relationship Id="rIdsmmvospvrot-hngjsht5d" Type="http://schemas.openxmlformats.org/officeDocument/2006/relationships/hyperlink" Target="https://www.mct.gov.cn/whzx/whyw/202501/t20250110_957788.htm" TargetMode="External"/><Relationship Id="rIdptzm-hjx8b5dk0fvjgyac" Type="http://schemas.openxmlformats.org/officeDocument/2006/relationships/hyperlink" Target="https://www.yrcpa.org.cn/cjwhcjh/xxzx/xydt37/2025120114193314173/index.html" TargetMode="External"/><Relationship Id="rIdzddoj2abjgbpgn96koqwp" Type="http://schemas.openxmlformats.org/officeDocument/2006/relationships/hyperlink" Target="https://lh.library.hb.cn/ztjj/lhzt/2024/202401/P020240126535677332439.pdf" TargetMode="External"/><Relationship Id="rIdupexdelzzrf2nzxpbjjlw" Type="http://schemas.openxmlformats.org/officeDocument/2006/relationships/hyperlink" Target="https://www.xhby.net/content/s67d02aabe4b06bf0396a1b7e.html" TargetMode="External"/><Relationship Id="rIdh1ils15goizqxzgwnd_mn" Type="http://schemas.openxmlformats.org/officeDocument/2006/relationships/hyperlink" Target="https://journal12.magtechjournal.com/Jwk_dax/CN/10.16065/j.cnki.issn1002-1620.2024.05.013" TargetMode="External"/><Relationship Id="rIdo-tg7c5mgnmacpnxmmbpe" Type="http://schemas.openxmlformats.org/officeDocument/2006/relationships/hyperlink" Target="https://m.fx361.com/news/2024/1231/25544286.html" TargetMode="External"/><Relationship Id="rId5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长江文化 × 游戏化文化传播 × AI文化IP · 固定文献库</dc:title>
  <dc:creator>文献库 v1.0</dc:creator>
  <dc:description>按研究功能分类的 106 条文献及入选理由</dc:description>
  <cp:lastModifiedBy>Un-named</cp:lastModifiedBy>
  <cp:revision>1</cp:revision>
  <dcterms:created xsi:type="dcterms:W3CDTF">2026-09-15T15:38:51.446Z</dcterms:created>
  <dcterms:modified xsi:type="dcterms:W3CDTF">2026-09-15T15:38:51.446Z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