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60" w:before="480" w:line="360" w:lineRule="auto"/>
        <w:jc w:val="center"/>
      </w:pPr>
      <w:r>
        <w:rPr>
          <w:rFonts w:ascii="Times New Roman" w:cs="Times New Roman" w:eastAsia="黑体" w:hAnsi="Times New Roman"/>
          <w:b w:val="false"/>
          <w:bCs w:val="false"/>
          <w:sz w:val="32"/>
          <w:szCs w:val="32"/>
        </w:rPr>
        <w:t xml:space="preserve">第2章　配图设计稿、尾注清单与修订说明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配套《第2章-理论谱系-润色稿》使用。</w:t>
      </w:r>
    </w:p>
    <w:p>
      <w:pPr>
        <w:pStyle w:val="Heading2"/>
        <w:spacing w:after="220" w:before="400" w:line="360" w:lineRule="auto"/>
        <w:jc w:val="left"/>
      </w:pPr>
      <w:r>
        <w:rPr>
          <w:rFonts w:ascii="Times New Roman" w:cs="Times New Roman" w:eastAsia="黑体" w:hAnsi="Times New Roman"/>
          <w:b w:val="false"/>
          <w:bCs w:val="false"/>
          <w:sz w:val="28"/>
          <w:szCs w:val="28"/>
        </w:rPr>
        <w:t xml:space="preserve">一、配图设计稿（6 幅）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图题一律置于图下，三行：中文题 / 英文题（Title Case）/（图片来源：作者自绘）。以下为绘制依据，画好后按正文中「［此处插入图2-X］」的位置替换即可。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图2-1　认知卸载的谱系与判断卸载的位置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位置</w:t>
      </w:r>
      <w:r>
        <w:rPr>
          <w:rFonts w:ascii="Times New Roman" w:cs="Times New Roman" w:eastAsia="宋体" w:hAnsi="Times New Roman"/>
          <w:sz w:val="24"/>
          <w:szCs w:val="24"/>
        </w:rPr>
        <w:t xml:space="preserve">：2.1.2 节末，表2-2 之后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类型</w:t>
      </w:r>
      <w:r>
        <w:rPr>
          <w:rFonts w:ascii="Times New Roman" w:cs="Times New Roman" w:eastAsia="宋体" w:hAnsi="Times New Roman"/>
          <w:sz w:val="24"/>
          <w:szCs w:val="24"/>
        </w:rPr>
        <w:t xml:space="preserve">：时间轴 + 分叉结构图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结构</w:t>
      </w:r>
      <w:r>
        <w:rPr>
          <w:rFonts w:ascii="Times New Roman" w:cs="Times New Roman" w:eastAsia="宋体" w:hAnsi="Times New Roman"/>
          <w:sz w:val="24"/>
          <w:szCs w:val="24"/>
        </w:rPr>
        <w:t xml:space="preserve">：- 上半部为一条自左向右的时间轴，依次标注四个节点：交互记忆系统（韦格纳，1985）→ 延展心智（克拉克与查尔默斯，1998）→ 搜索引擎与记忆（斯帕罗等，2011）→ 认知卸载的系统化（里斯科与吉尔伯特，2016）。四个节点下方统一加一条横向色带，注明「共同对象：记忆的外部化」。- 时间轴右端向下分出一支，以不同色相标出「判断的外部化（本书对象）」，注明「既有研究尚未充分处理」。- 两支之间用一组对照标签连接：左支「内容仍在外部载体 → 可回取」，右支「能力本身萎缩 → 不可回取」。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要点</w:t>
      </w:r>
      <w:r>
        <w:rPr>
          <w:rFonts w:ascii="Times New Roman" w:cs="Times New Roman" w:eastAsia="宋体" w:hAnsi="Times New Roman"/>
          <w:sz w:val="24"/>
          <w:szCs w:val="24"/>
        </w:rPr>
        <w:t xml:space="preserve">：分叉必须画在时间轴末端而非并列于起点，以显示判断卸载是既有谱系的延伸而非另起一路；两支的视觉权重不对等，右支加重。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图2-2　卸载决策中收益与代价的不对称结构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位置</w:t>
      </w:r>
      <w:r>
        <w:rPr>
          <w:rFonts w:ascii="Times New Roman" w:cs="Times New Roman" w:eastAsia="宋体" w:hAnsi="Times New Roman"/>
          <w:sz w:val="24"/>
          <w:szCs w:val="24"/>
        </w:rPr>
        <w:t xml:space="preserve">：2.1.4 节，第二段之后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类型</w:t>
      </w:r>
      <w:r>
        <w:rPr>
          <w:rFonts w:ascii="Times New Roman" w:cs="Times New Roman" w:eastAsia="宋体" w:hAnsi="Times New Roman"/>
          <w:sz w:val="24"/>
          <w:szCs w:val="24"/>
        </w:rPr>
        <w:t xml:space="preserve">：双轴时间曲线图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结构</w:t>
      </w:r>
      <w:r>
        <w:rPr>
          <w:rFonts w:ascii="Times New Roman" w:cs="Times New Roman" w:eastAsia="宋体" w:hAnsi="Times New Roman"/>
          <w:sz w:val="24"/>
          <w:szCs w:val="24"/>
        </w:rPr>
        <w:t xml:space="preserve">：- 横轴为时间（自「单次决策时刻」向右延伸至「数月—数年」），纵轴为「个体可感知的量级」。- 收益曲线：自决策时刻起即跃升至高位并保持，标注「即时、确定、可直接感知」。- 代价曲线：自决策时刻起贴近零位缓慢爬升，在横轴中后段才越过一条水平虚线，虚线标注「个体感知阈值」，越过点标注「代价开始显现，但已难以归因」。- 两曲线之间的阴影区标注「认知—实际背离区」。- 图下方加一条注记条：「单次决策：卸载在个体理性层面正确；长期累积：同一系列决策导向不合意结果」。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要点</w:t>
      </w:r>
      <w:r>
        <w:rPr>
          <w:rFonts w:ascii="Times New Roman" w:cs="Times New Roman" w:eastAsia="宋体" w:hAnsi="Times New Roman"/>
          <w:sz w:val="24"/>
          <w:szCs w:val="24"/>
        </w:rPr>
        <w:t xml:space="preserve">：感知阈值虚线是全图的关键，须清晰可辨；代价曲线在阈值以下的那一长段是本书全部论证的落点。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图2-3　自动化反讽的双重结构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位置</w:t>
      </w:r>
      <w:r>
        <w:rPr>
          <w:rFonts w:ascii="Times New Roman" w:cs="Times New Roman" w:eastAsia="宋体" w:hAnsi="Times New Roman"/>
          <w:sz w:val="24"/>
          <w:szCs w:val="24"/>
        </w:rPr>
        <w:t xml:space="preserve">：2.2.1 节，第二段之后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类型</w:t>
      </w:r>
      <w:r>
        <w:rPr>
          <w:rFonts w:ascii="Times New Roman" w:cs="Times New Roman" w:eastAsia="宋体" w:hAnsi="Times New Roman"/>
          <w:sz w:val="24"/>
          <w:szCs w:val="24"/>
        </w:rPr>
        <w:t xml:space="preserve">：双环闭合结构图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结构</w:t>
      </w:r>
      <w:r>
        <w:rPr>
          <w:rFonts w:ascii="Times New Roman" w:cs="Times New Roman" w:eastAsia="宋体" w:hAnsi="Times New Roman"/>
          <w:sz w:val="24"/>
          <w:szCs w:val="24"/>
        </w:rPr>
        <w:t xml:space="preserve">：- 左环（任务分配之讽）：「不信任人的可靠性」→「以机器取代常规操作」→「异常情形留给人」→「人面对的是最困难的任务」→ 回指起点。- 右环（能力维持之讽）：「人被设置为最终可靠性保障」→「人长期不参与常规操作」→「技能日渐生疏」→「保障本身的可靠性被削弱」→ 回指起点。- 两环在中部共享一个节点：「自动化程度提高」。- 图右侧加一行结论注记：「自动化程度愈高，留给人的任务愈难，而准备愈不足」。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要点</w:t>
      </w:r>
      <w:r>
        <w:rPr>
          <w:rFonts w:ascii="Times New Roman" w:cs="Times New Roman" w:eastAsia="宋体" w:hAnsi="Times New Roman"/>
          <w:sz w:val="24"/>
          <w:szCs w:val="24"/>
        </w:rPr>
        <w:t xml:space="preserve">：两环必须都是闭环（自我强化），共享节点居中，避免画成两条并列的流程线。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图2-4　缄默知识在认知卸载中流失的三条路径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位置</w:t>
      </w:r>
      <w:r>
        <w:rPr>
          <w:rFonts w:ascii="Times New Roman" w:cs="Times New Roman" w:eastAsia="宋体" w:hAnsi="Times New Roman"/>
          <w:sz w:val="24"/>
          <w:szCs w:val="24"/>
        </w:rPr>
        <w:t xml:space="preserve">：2.3.3 节，第四段之后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类型</w:t>
      </w:r>
      <w:r>
        <w:rPr>
          <w:rFonts w:ascii="Times New Roman" w:cs="Times New Roman" w:eastAsia="宋体" w:hAnsi="Times New Roman"/>
          <w:sz w:val="24"/>
          <w:szCs w:val="24"/>
        </w:rPr>
        <w:t xml:space="preserve">：三路径并行对照图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结构</w:t>
      </w:r>
      <w:r>
        <w:rPr>
          <w:rFonts w:ascii="Times New Roman" w:cs="Times New Roman" w:eastAsia="宋体" w:hAnsi="Times New Roman"/>
          <w:sz w:val="24"/>
          <w:szCs w:val="24"/>
        </w:rPr>
        <w:t xml:space="preserve">：- 顶部为起点框「一项依赖缄默知识的任务被交付机器」。- 向下分出三条并行路径：1.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不可寄存</w:t>
      </w:r>
      <w:r>
        <w:rPr>
          <w:rFonts w:ascii="Times New Roman" w:cs="Times New Roman" w:eastAsia="宋体" w:hAnsi="Times New Roman"/>
          <w:sz w:val="24"/>
          <w:szCs w:val="24"/>
        </w:rPr>
        <w:t xml:space="preserve">：显性知识 →「写入文档/数据库/工具」→「仍存在于某处」；缄默知识 →「无处可写」→「无人实践后逐渐消散」。（此路径内部再作显性/缄默的对照）2.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依赖实践维持</w:t>
      </w:r>
      <w:r>
        <w:rPr>
          <w:rFonts w:ascii="Times New Roman" w:cs="Times New Roman" w:eastAsia="宋体" w:hAnsi="Times New Roman"/>
          <w:sz w:val="24"/>
          <w:szCs w:val="24"/>
        </w:rPr>
        <w:t xml:space="preserve">：「不再亲自推敲比例」→「关于比例的手感不再被调用」；「不再亲自筛选材质」→「关于材质的直觉不再被激活」→ 汇入「取消运用＝取消能力」。3.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形成过程与效率目标冲突</w:t>
      </w:r>
      <w:r>
        <w:rPr>
          <w:rFonts w:ascii="Times New Roman" w:cs="Times New Roman" w:eastAsia="宋体" w:hAnsi="Times New Roman"/>
          <w:sz w:val="24"/>
          <w:szCs w:val="24"/>
        </w:rPr>
        <w:t xml:space="preserve">：「工具消除低效试错」→「反复失败、无用尝试、被推翻的方案不再发生」→「缄默知识无从沉淀」。- 三条路径底部汇入同一个结果框：「形成需长期浸润，退化只需持续闲置」，其下再接一个框：「不可自察：无法清点自己失去了何种说不出来的能力」。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要点</w:t>
      </w:r>
      <w:r>
        <w:rPr>
          <w:rFonts w:ascii="Times New Roman" w:cs="Times New Roman" w:eastAsia="宋体" w:hAnsi="Times New Roman"/>
          <w:sz w:val="24"/>
          <w:szCs w:val="24"/>
        </w:rPr>
        <w:t xml:space="preserve">：三条路径等宽并行，末端汇聚；最下方的「不可自察」框须与上方结果框在视觉上区分（如加虚线边框），因为它是本书区别于一般能力衰退的关键。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图2-5　四条理论脉络向认知韧性界定的汇聚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位置</w:t>
      </w:r>
      <w:r>
        <w:rPr>
          <w:rFonts w:ascii="Times New Roman" w:cs="Times New Roman" w:eastAsia="宋体" w:hAnsi="Times New Roman"/>
          <w:sz w:val="24"/>
          <w:szCs w:val="24"/>
        </w:rPr>
        <w:t xml:space="preserve">：2.5.1 节末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类型</w:t>
      </w:r>
      <w:r>
        <w:rPr>
          <w:rFonts w:ascii="Times New Roman" w:cs="Times New Roman" w:eastAsia="宋体" w:hAnsi="Times New Roman"/>
          <w:sz w:val="24"/>
          <w:szCs w:val="24"/>
        </w:rPr>
        <w:t xml:space="preserve">：四路汇聚图（本章总图）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结构</w:t>
      </w:r>
      <w:r>
        <w:rPr>
          <w:rFonts w:ascii="Times New Roman" w:cs="Times New Roman" w:eastAsia="宋体" w:hAnsi="Times New Roman"/>
          <w:sz w:val="24"/>
          <w:szCs w:val="24"/>
        </w:rPr>
        <w:t xml:space="preserve">：- 左侧并列四个来源框，各标出脉络名称、核心贡献与适用限度（内容取自表2-1）：1. 元认知与认知卸载 → 贡献：外部化的机理；判断卸载不可回取2. 自动化研究 → 贡献：能力因闲置而退化；设计领域更难察觉3. 缄默知识理论 → 贡献：何种能力最易流失；代价的阶段依赖性4. 韧性理论 → 贡献：损耗条件下功能维持的框架；可设计性- 中部为一个收束节点：「认知韧性（本书界定）」。- 右侧展开为三个维度框：元认知监控、自主验证行为、创作能动性，并各自用虚线回连至其主要来源脉络（监控←脉络1，验证←脉络2，能动性←脉络3），脉络4 以另一种线型连向中部节点，注明「提供描述框架而非单一维度」。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要点</w:t>
      </w:r>
      <w:r>
        <w:rPr>
          <w:rFonts w:ascii="Times New Roman" w:cs="Times New Roman" w:eastAsia="宋体" w:hAnsi="Times New Roman"/>
          <w:sz w:val="24"/>
          <w:szCs w:val="24"/>
        </w:rPr>
        <w:t xml:space="preserve">：脉络 4 的连线方式须与前三条区分，否则会误读为四脉络各出一维；三维度只有三条，第四条脉络贡献的是框架本身。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图2-6　认知韧性三个维度的递进关系及两种分离情形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位置</w:t>
      </w:r>
      <w:r>
        <w:rPr>
          <w:rFonts w:ascii="Times New Roman" w:cs="Times New Roman" w:eastAsia="宋体" w:hAnsi="Times New Roman"/>
          <w:sz w:val="24"/>
          <w:szCs w:val="24"/>
        </w:rPr>
        <w:t xml:space="preserve">：2.5.3 节末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类型</w:t>
      </w:r>
      <w:r>
        <w:rPr>
          <w:rFonts w:ascii="Times New Roman" w:cs="Times New Roman" w:eastAsia="宋体" w:hAnsi="Times New Roman"/>
          <w:sz w:val="24"/>
          <w:szCs w:val="24"/>
        </w:rPr>
        <w:t xml:space="preserve">：递进链 + 两处断点标注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结构</w:t>
      </w:r>
      <w:r>
        <w:rPr>
          <w:rFonts w:ascii="Times New Roman" w:cs="Times New Roman" w:eastAsia="宋体" w:hAnsi="Times New Roman"/>
          <w:sz w:val="24"/>
          <w:szCs w:val="24"/>
        </w:rPr>
        <w:t xml:space="preserve">：- 主链自左向右：「元认知监控（前提）」→「自主验证行为（手段）」→「创作能动性（结果）」，箭头依次相连，下方注记「正常情形下三者同向变动」。- 在第一个箭头处标出断点一：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觉察而不验证</w:t>
      </w:r>
      <w:r>
        <w:rPr>
          <w:rFonts w:ascii="Times New Roman" w:cs="Times New Roman" w:eastAsia="宋体" w:hAnsi="Times New Roman"/>
          <w:sz w:val="24"/>
          <w:szCs w:val="24"/>
        </w:rPr>
        <w:t xml:space="preserve">，旁注「知晓依赖，但因工期压力或核验成本而放弃核验 → 问题不在意识而在条件 → 对策指向流程与制度」。- 在第二个箭头处标出断点二：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验证而无主张</w:t>
      </w:r>
      <w:r>
        <w:rPr>
          <w:rFonts w:ascii="Times New Roman" w:cs="Times New Roman" w:eastAsia="宋体" w:hAnsi="Times New Roman"/>
          <w:sz w:val="24"/>
          <w:szCs w:val="24"/>
        </w:rPr>
        <w:t xml:space="preserve">，旁注「核验了每一项技术细节，却对审美取向与意义指向全无立场 → 止于技术性正确而不及价值性判断 → 易被误认作专业素养良好」。- 图底部加一行警示注记：「三个维度须分别测量，不宜合成为单一综合分数」。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要点</w:t>
      </w:r>
      <w:r>
        <w:rPr>
          <w:rFonts w:ascii="Times New Roman" w:cs="Times New Roman" w:eastAsia="宋体" w:hAnsi="Times New Roman"/>
          <w:sz w:val="24"/>
          <w:szCs w:val="24"/>
        </w:rPr>
        <w:t xml:space="preserve">：两处断点用同一种断口符号标注在箭头上，而非另起两条支线，以保持「分离发生在传导环节」这一含义。</w:t>
      </w:r>
    </w:p>
    <w:p>
      <w:pPr>
        <w:pStyle w:val="Heading2"/>
        <w:spacing w:after="220" w:before="400" w:line="360" w:lineRule="auto"/>
        <w:jc w:val="left"/>
      </w:pPr>
      <w:r>
        <w:rPr>
          <w:rFonts w:ascii="Times New Roman" w:cs="Times New Roman" w:eastAsia="黑体" w:hAnsi="Times New Roman"/>
          <w:b w:val="false"/>
          <w:bCs w:val="false"/>
          <w:sz w:val="28"/>
          <w:szCs w:val="28"/>
        </w:rPr>
        <w:t xml:space="preserve">二、尾注清单（20 条，含 5 处待补）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正文已改为句末尾注上标。以下为各上标对应的文献，请按 GB/T 7714 补足页码与出版信息后，并入书末「参考文献」的对应分区。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300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出现位置</w:t>
            </w:r>
          </w:p>
        </w:tc>
        <w:tc>
          <w:tcPr>
            <w:tcW w:type="dxa" w:w="301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对应文献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[1]</w:t>
            </w:r>
          </w:p>
        </w:tc>
        <w:tc>
          <w:tcPr>
            <w:tcW w:type="dxa" w:w="300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2.1.1</w:t>
            </w:r>
          </w:p>
        </w:tc>
        <w:tc>
          <w:tcPr>
            <w:tcW w:type="dxa" w:w="3010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Flavell J H. Metacognition and Cognitive Monitoring: A New Area of Cognitive-developmental Inquiry[J]. American Psychologist, 1979, 34(10): 906-911.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[2]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Risko E F, Gilbert S J. Cognitive Offloading[J]. Trends in Cognitive Sciences, 2016, 20(9): 676-688.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[3]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Wegner D M. Transactive Memory: A Contemporary Analysis of the Group Mind[M]// Mullen B, Goethals G R. Theories of Group Behavior. New York: Springer, 1986: 185-208.（正文所标年份为 1985，请与最终采用的版本统一）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[4]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Clark A, Chalmers D. The Extended Mind[J]. Analysis, 1998, 58(1): 7-19.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[5]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Sparrow B, Liu J, Wegner D M. Google Effects on Memory: Cognitive Consequences of Having Information at Our Fingertips[J]. Science, 2011, 333(6043): 776-778.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[6]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2.1.3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Bjork E L, Bjork R A. Making Things Hard on Yourself, But in a Good Way: Creating Desirable Difficulties to Enhance Learning[M]// Gernsbacher M A, et al. Psychology and the Real World. New York: Worth Publishers, 2011: 56-64.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[7]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2.2.1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Bainbridge L. Ironies of Automation[J]. Automatica, 1983, 19(6): 775-779.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[8]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Endsley M R, Kiris E O. The Out-of-the-Loop Performance Problem and Level of Control in Automation[J]. Human Factors, 1995, 37(2): 381-394.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[9]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Parasuraman R, Riley V. Humans and Automation: Use, Misuse, Disuse, Abuse[J]. Human Factors, 1997, 39(2): 230-253.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[10]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Skitka L J, Mosier K L, Burdick M. Does Automation Bias Decision-making?[J]. International Journal of Human-Computer Studies, 1999, 51(5): 991-1006.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[11]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2.2.3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Braverman H. Labor and Monopoly Capital: The Degradation of Work in the Twentieth Century[M]. New York: Monthly Review Press, 1974.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[12]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2.2.5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Wood D, Bruner J S, Ross G. The Role of Tutoring in Problem Solving[J]. Journal of Child Psychology and Psychiatry, 1976, 17(2): 89-100.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[13]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2.3.1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Polanyi M. The Tacit Dimension[M]. Garden City: Doubleday, 1966.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[14]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2.3.2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Cross N. Designerly Ways of Knowing[M]. London: Springer, 2006.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[15]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2.3.2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Schön D A. The Reflective Practitioner: How Professionals Think in Action[M]. New York: Basic Books, 1983.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[16]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2.3.2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Dreyfus H L, Dreyfus S E. Mind over Machine: The Power of Human Intuition and Expertise in the Era of the Computer[M]. New York: Free Press, 1986.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[17]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2.3.5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Hoffman R R. The Problem of Extracting the Knowledge of Experts from the Perspective of Experimental Psychology[J]. AI Magazine, 1987, 8(2): 53-67.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[18]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2.4.1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Holling C S. Resilience and Stability of Ecological Systems[J]. Annual Review of Ecology and Systematics, 1973, 4: 1-23.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[19]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2.4.2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Masten A S. Ordinary Magic: Resilience Processes in Development[J]. American Psychologist, 2001, 56(3): 227-238.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[20]</w:t>
            </w:r>
          </w:p>
        </w:tc>
        <w:tc>
          <w:tcPr>
            <w:tcW w:type="dxa" w:w="300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2.4.2</w:t>
            </w:r>
          </w:p>
        </w:tc>
        <w:tc>
          <w:tcPr>
            <w:tcW w:type="dxa" w:w="301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Stern Y. Cognitive Reserve[J]. Neuropsychologia, 2009, 47(10): 2015-2028.</w:t>
            </w:r>
          </w:p>
        </w:tc>
      </w:tr>
    </w:tbl>
    <w:p>
      <w:pPr>
        <w:spacing w:line="200" w:lineRule="auto"/>
      </w:pPr>
      <w:r>
        <w:rPr>
          <w:sz w:val="18"/>
          <w:szCs w:val="18"/>
        </w:rPr>
        <w:t xml:space="preserve"/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以上 20 条为按正文论断的通行出处所拟，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请逐条核对原文并补足页码</w:t>
      </w:r>
      <w:r>
        <w:rPr>
          <w:rFonts w:ascii="Times New Roman" w:cs="Times New Roman" w:eastAsia="宋体" w:hAnsi="Times New Roman"/>
          <w:sz w:val="24"/>
          <w:szCs w:val="24"/>
        </w:rPr>
        <w:t xml:space="preserve">，凡未经本人核实者不宜直接采用。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待补引注（5 处，正文中已以【待补：…】标出）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8"/>
      </w:tblGrid>
      <w:tr>
        <w:trPr>
          <w:tblHeader/>
        </w:trPr>
        <w:tc>
          <w:tcPr>
            <w:tcW w:type="dxa" w:w="225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25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位置</w:t>
            </w:r>
          </w:p>
        </w:tc>
        <w:tc>
          <w:tcPr>
            <w:tcW w:type="dxa" w:w="225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需要补的内容</w:t>
            </w:r>
          </w:p>
        </w:tc>
        <w:tc>
          <w:tcPr>
            <w:tcW w:type="dxa" w:w="225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建议检索方向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待补 1</w:t>
            </w:r>
          </w:p>
        </w:tc>
        <w:tc>
          <w:tcPr>
            <w:tcW w:type="dxa" w:w="225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2.1.1 末段</w:t>
            </w:r>
          </w:p>
        </w:tc>
        <w:tc>
          <w:tcPr>
            <w:tcW w:type="dxa" w:w="2256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学习判断（JOL）与知晓错觉的代表性实证研究</w:t>
            </w:r>
          </w:p>
        </w:tc>
        <w:tc>
          <w:tcPr>
            <w:tcW w:type="dxa" w:w="2258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Koriat 的线索利用理论；Rhodes &amp; Castel 关于加工流畅性与 JOL 的实验；Glenberg 等关于 illusion of knowing 的原始研究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待补 2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2.1.4 第三段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跨期选择与时间贴现的代表性文献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Frederick、Loewenstein &amp; O'Donoghue 的综述；Ainslie 的双曲贴现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待补 3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2.2.2 末段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飞行员手动操纵技能退化的实证研究或事故调查报告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FAA 关于 manual flying skills 的研究报告；Ebbatson 等关于手动操纵技能退化的实验研究；相关事故调查报告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待补 4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2.2.2 末段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计算机辅助诊断影响阅片者注意分布的实证研究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乳腺 X 线 CAD 的读片者研究；Alberdi 等关于 CAD 与自动化偏见的研究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待补 5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2.2.5 第二段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人机组合表现优于机器单独作业的实证研究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人机团队（human-AI teaming）绩效的元分析；Vaccaro 等关于人机组合何时优于单方的研究</w:t>
            </w:r>
          </w:p>
        </w:tc>
      </w:tr>
      <w:tr>
        <w:trPr>
          <w:tblHeader w:val="false"/>
        </w:trPr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待补 6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2.4.4 首段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韧性话语责任转嫁批评的代表性文献</w:t>
            </w:r>
          </w:p>
        </w:tc>
        <w:tc>
          <w:tcPr>
            <w:tcW w:type="dxa" w:w="2258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组织与公共政策领域对 resilience discourse 的批判；心理韧性话语的个体化批评</w:t>
            </w:r>
          </w:p>
        </w:tc>
      </w:tr>
    </w:tbl>
    <w:p>
      <w:pPr>
        <w:spacing w:line="200" w:lineRule="auto"/>
      </w:pPr>
      <w:r>
        <w:rPr>
          <w:sz w:val="18"/>
          <w:szCs w:val="18"/>
        </w:rPr>
        <w:t xml:space="preserve"/>
      </w:r>
    </w:p>
    <w:p>
      <w:pPr>
        <w:pStyle w:val="Heading2"/>
        <w:spacing w:after="220" w:before="400" w:line="360" w:lineRule="auto"/>
        <w:jc w:val="left"/>
      </w:pPr>
      <w:r>
        <w:rPr>
          <w:rFonts w:ascii="Times New Roman" w:cs="Times New Roman" w:eastAsia="黑体" w:hAnsi="Times New Roman"/>
          <w:b w:val="false"/>
          <w:bCs w:val="false"/>
          <w:sz w:val="28"/>
          <w:szCs w:val="28"/>
        </w:rPr>
        <w:t xml:space="preserve">三、修订说明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3.1 语体改写（按指南 §1.1–1.4）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原稿为文言化论证语体，本次已全面改写为范本的现代学术论著语体。主要替换如下：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原稿用语</w:t>
            </w:r>
          </w:p>
        </w:tc>
        <w:tc>
          <w:tcPr>
            <w:tcW w:type="dxa" w:w="451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改后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凡此皆／凡此三者／以上三者皆</w:t>
            </w:r>
          </w:p>
        </w:tc>
        <w:tc>
          <w:tcPr>
            <w:tcW w:type="dxa" w:w="4513"/>
            <w:tcBorders>
              <w:top w:val="single" w:color="000000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以上问题均／以上三者均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惟须指出／惟须强调／惟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但需要指出的是／但需要强调的是／但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是故／职是之故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因此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要之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由此可见／换言之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其缘由在于／其理由在于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其原因在于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藉以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以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自……而言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就……而言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亦／皆／须／方能／颇为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也／均／须（保留少量）／才能／较为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姑称之为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即所谓／称为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尚未／未曾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尚未（保留）／未曾（保留于少数固定搭配）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第一章／第四章……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 w:before="20" w:line="280" w:lineRule="auto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第1章／第4章……</w:t>
            </w:r>
          </w:p>
        </w:tc>
      </w:tr>
    </w:tbl>
    <w:p>
      <w:pPr>
        <w:spacing w:line="200" w:lineRule="auto"/>
      </w:pPr>
      <w:r>
        <w:rPr>
          <w:sz w:val="18"/>
          <w:szCs w:val="18"/>
        </w:rPr>
        <w:t xml:space="preserve"/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同时按范本节奏补入序次与连接：各处论证改以「首先／其次／另外／最后」推进，分条改以「第一，第二，第三，」标示，段末统一以「这意味着」「因此」「由此可见」「以上……表明」收束。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3.2 体例修订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本章小结升为独立一节</w:t>
      </w:r>
      <w:r>
        <w:rPr>
          <w:rFonts w:ascii="Times New Roman" w:cs="Times New Roman" w:eastAsia="宋体" w:hAnsi="Times New Roman"/>
          <w:sz w:val="24"/>
          <w:szCs w:val="24"/>
        </w:rPr>
        <w:t xml:space="preserve">。原「2.5.6 小结与过渡」为三级标题，附于 2.5 之下；现改为「2.6 本章小结」，与范本各章一致。2.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补节首导语</w:t>
      </w:r>
      <w:r>
        <w:rPr>
          <w:rFonts w:ascii="Times New Roman" w:cs="Times New Roman" w:eastAsia="宋体" w:hAnsi="Times New Roman"/>
          <w:sz w:val="24"/>
          <w:szCs w:val="24"/>
        </w:rPr>
        <w:t xml:space="preserve">。2.1–2.5 五节此前均直接进入 2.x.1，现每节补一段导语，交代本节任务与推进顺序。3.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术语首见括注英文</w:t>
      </w:r>
      <w:r>
        <w:rPr>
          <w:rFonts w:ascii="Times New Roman" w:cs="Times New Roman" w:eastAsia="宋体" w:hAnsi="Times New Roman"/>
          <w:sz w:val="24"/>
          <w:szCs w:val="24"/>
        </w:rPr>
        <w:t xml:space="preserve">。共补 20 余处，包括：元认知（metacognition）、学习判断（judgment of learning，JOL）、知晓错觉（illusion of knowing）、认知卸载（cognitive offloading）、交互记忆系统（transactive memory system）、延展心智（extended mind）、合意困难（desirable difficulties）、跨期选择（intertemporal choice）、时间贴现（temporal discounting）、自动化反讽（ironies of automation）、脱环表现问题（out-of-the-loop performance problem）、情境意识（situation awareness）、自动化自满（automation complacency）、自动化偏见（automation bias）、去技能化（deskilling）、脚手架（scaffolding）、缄默维度（tacit dimension）、附带觉知（subsidiary awareness）、集中觉知（focal awareness）、内寓（indwelling）、设计式认知（designerly ways of knowing）、反思性实践（reflective practice）、在行动中的反思（reflection-in-action）、专家系统（expert system）、知识获取瓶颈（knowledge acquisition bottleneck）、韧性（resilience）、稳定性（stability）、认知储备（cognitive reserve）、人工智能素养（AI literacy）、批判性思维（critical thinking）、人机信任（human-automation trust）。4.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人名补外文与年份</w:t>
      </w:r>
      <w:r>
        <w:rPr>
          <w:rFonts w:ascii="Times New Roman" w:cs="Times New Roman" w:eastAsia="宋体" w:hAnsi="Times New Roman"/>
          <w:sz w:val="24"/>
          <w:szCs w:val="24"/>
        </w:rPr>
        <w:t xml:space="preserve">。原稿中「比约克等人」「恩兹利等人」「帕拉苏拉曼与莱利」「克罗斯」「舍恩」「德雷福斯兄弟」六处仅有中译名，现统一补为「中译名（外文，年份）」。其中「比约克等人」按合意困难概念的实际提出者改为「比约克夫妇（Bjork &amp; Bjork，2011）」，「恩兹利等人」改为「恩兹利与基里斯（Endsley &amp; Kiris，1995）」，请核对是否与你所引版本一致。5.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引注改尾注上标</w:t>
      </w:r>
      <w:r>
        <w:rPr>
          <w:rFonts w:ascii="Times New Roman" w:cs="Times New Roman" w:eastAsia="宋体" w:hAnsi="Times New Roman"/>
          <w:sz w:val="24"/>
          <w:szCs w:val="24"/>
        </w:rPr>
        <w:t xml:space="preserve">，共 20 条，另标出 6 处待补（见上）。原稿全文无一处引注，这是与范本差距最大的一项。6.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补表 9 张、图 6 幅</w:t>
      </w:r>
      <w:r>
        <w:rPr>
          <w:rFonts w:ascii="Times New Roman" w:cs="Times New Roman" w:eastAsia="宋体" w:hAnsi="Times New Roman"/>
          <w:sz w:val="24"/>
          <w:szCs w:val="24"/>
        </w:rPr>
        <w:t xml:space="preserve">。表格已成稿，图给设计稿。7.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术语统一</w:t>
      </w:r>
      <w:r>
        <w:rPr>
          <w:rFonts w:ascii="Times New Roman" w:cs="Times New Roman" w:eastAsia="宋体" w:hAnsi="Times New Roman"/>
          <w:sz w:val="24"/>
          <w:szCs w:val="24"/>
        </w:rPr>
        <w:t xml:space="preserve">：原稿 2.3 节标题作「缄默知识」，正文却通篇作「默会知识」「默会维度」「默会性」；已统一为「缄默知识」「缄默维度」「缄默性」，与第1章的「缄默经验」一致。</w:t>
      </w:r>
    </w:p>
    <w:p>
      <w:pPr>
        <w:pStyle w:val="Heading3"/>
        <w:spacing w:after="160" w:before="240" w:line="360" w:lineRule="auto"/>
        <w:jc w:val="left"/>
      </w:pPr>
      <w:r>
        <w:rPr>
          <w:rFonts w:ascii="Times New Roman" w:cs="Times New Roman" w:eastAsia="黑体" w:hAnsi="Times New Roman"/>
          <w:b/>
          <w:bCs/>
          <w:sz w:val="24"/>
          <w:szCs w:val="24"/>
        </w:rPr>
        <w:t xml:space="preserve">3.3 需要你确认的三处</w:t>
      </w:r>
    </w:p>
    <w:p>
      <w:pPr>
        <w:spacing w:after="60" w:before="0" w:line="400" w:lineRule="auto"/>
        <w:ind w:firstLine="480"/>
        <w:jc w:val="both"/>
      </w:pPr>
      <w:r>
        <w:rPr>
          <w:rFonts w:ascii="Times New Roman" w:cs="Times New Roman" w:eastAsia="宋体" w:hAnsi="Times New Roman"/>
          <w:sz w:val="24"/>
          <w:szCs w:val="24"/>
        </w:rPr>
        <w:t xml:space="preserve">1.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章次引称</w:t>
      </w:r>
      <w:r>
        <w:rPr>
          <w:rFonts w:ascii="Times New Roman" w:cs="Times New Roman" w:eastAsia="宋体" w:hAnsi="Times New Roman"/>
          <w:sz w:val="24"/>
          <w:szCs w:val="24"/>
        </w:rPr>
        <w:t xml:space="preserve">。本章正文引称第3章（学理命题）、第4章（边界判据）、第5章（衰减机制）、第6章（干预策略）、第7章（溯源制度）、第8章（教育与产业），即绪论为第1章、本章为第2章的八章制。请与绪论「结构安排」一节的章次表述核对一致——若绪论仍按「绪论＋正文七章」编排（理论为第一章、命题为第二章……），则本章全部章次引称须整体前移一位。2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表格数量</w:t>
      </w:r>
      <w:r>
        <w:rPr>
          <w:rFonts w:ascii="Times New Roman" w:cs="Times New Roman" w:eastAsia="宋体" w:hAnsi="Times New Roman"/>
          <w:sz w:val="24"/>
          <w:szCs w:val="24"/>
        </w:rPr>
        <w:t xml:space="preserve">。本章现有 9 张表，范本第2章为 6 张。若嫌密，最可先并的是表2-1（四脉络对照，内容与图2-5 重合）与表2-7（三层次，正文已叙述完整）；建议保留表2-2、表2-3、表2-4、表2-5、表2-8、表2-9 这六张，它们承载的是正文难以线性表达的多维对照。3. </w:t>
      </w:r>
      <w:r>
        <w:rPr>
          <w:rFonts w:ascii="Times New Roman" w:cs="Times New Roman" w:eastAsia="宋体" w:hAnsi="Times New Roman"/>
          <w:b/>
          <w:bCs/>
          <w:sz w:val="24"/>
          <w:szCs w:val="24"/>
        </w:rPr>
        <w:t xml:space="preserve">2.3.4 与表2-5 的关系</w:t>
      </w:r>
      <w:r>
        <w:rPr>
          <w:rFonts w:ascii="Times New Roman" w:cs="Times New Roman" w:eastAsia="宋体" w:hAnsi="Times New Roman"/>
          <w:sz w:val="24"/>
          <w:szCs w:val="24"/>
        </w:rPr>
        <w:t xml:space="preserve">。正文只分「新手至胜任」与「精通至专家」两段论述，表格则铺开为五阶段。若希望文表严格对应，可在正文中补一句点出高级新手与胜任者的差别；若不补，则表格中「高级新手」与「胜任者」两行的「卸载的直接后果」目前措辞相近，宜再作区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2026-08-30T10:02:32.022Z</dcterms:created>
  <dcterms:modified xsi:type="dcterms:W3CDTF">2026-08-30T10:02:32.022Z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